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BD4" w14:textId="63E5CFBF"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C749EF" w:rsidRPr="008D1868">
        <w:rPr>
          <w:rFonts w:cs="Arial"/>
          <w:b/>
          <w:sz w:val="22"/>
          <w:szCs w:val="22"/>
          <w:lang w:val="en-US"/>
        </w:rPr>
        <w:t>1</w:t>
      </w:r>
      <w:r w:rsidR="00E47239">
        <w:rPr>
          <w:rFonts w:cs="Arial"/>
          <w:b/>
          <w:sz w:val="22"/>
          <w:szCs w:val="22"/>
          <w:lang w:val="en-US"/>
        </w:rPr>
        <w:t>2</w:t>
      </w:r>
      <w:r w:rsidR="0009550D">
        <w:rPr>
          <w:rFonts w:cs="Arial"/>
          <w:b/>
          <w:sz w:val="22"/>
          <w:szCs w:val="22"/>
          <w:lang w:val="en-US"/>
        </w:rPr>
        <w:t>1</w:t>
      </w:r>
      <w:r w:rsidR="004A6CE6">
        <w:rPr>
          <w:rFonts w:cs="Arial"/>
          <w:b/>
          <w:sz w:val="22"/>
          <w:szCs w:val="22"/>
          <w:lang w:val="en-US"/>
        </w:rPr>
        <w:t>bis</w:t>
      </w:r>
      <w:r w:rsidRPr="008D1868">
        <w:rPr>
          <w:rFonts w:cs="Arial"/>
          <w:b/>
          <w:i/>
          <w:sz w:val="22"/>
          <w:szCs w:val="22"/>
          <w:lang w:val="en-US"/>
        </w:rPr>
        <w:tab/>
      </w:r>
      <w:r w:rsidR="000B392F" w:rsidRPr="000B392F">
        <w:rPr>
          <w:rFonts w:cs="Arial"/>
          <w:b/>
          <w:i/>
          <w:sz w:val="22"/>
          <w:szCs w:val="22"/>
          <w:lang w:val="en-US" w:eastAsia="zh-CN"/>
        </w:rPr>
        <w:t>R2-</w:t>
      </w:r>
      <w:r w:rsidR="004A6CE6" w:rsidRPr="0054499E">
        <w:rPr>
          <w:rFonts w:cs="Arial"/>
          <w:b/>
          <w:i/>
          <w:sz w:val="22"/>
          <w:szCs w:val="22"/>
          <w:lang w:val="en-US" w:eastAsia="zh-CN"/>
        </w:rPr>
        <w:t>230</w:t>
      </w:r>
      <w:r w:rsidR="00125CD6">
        <w:rPr>
          <w:rFonts w:cs="Arial"/>
          <w:b/>
          <w:i/>
          <w:sz w:val="22"/>
          <w:szCs w:val="22"/>
          <w:lang w:val="en-US" w:eastAsia="zh-CN"/>
        </w:rPr>
        <w:t>2578</w:t>
      </w:r>
    </w:p>
    <w:p w14:paraId="540B9A86" w14:textId="325C8385" w:rsidR="00D0573B" w:rsidRDefault="004A6CE6">
      <w:pPr>
        <w:tabs>
          <w:tab w:val="left" w:pos="1701"/>
          <w:tab w:val="right" w:pos="9639"/>
        </w:tabs>
        <w:spacing w:after="0"/>
        <w:rPr>
          <w:rFonts w:cs="Arial"/>
          <w:b/>
          <w:color w:val="000000"/>
          <w:kern w:val="2"/>
          <w:sz w:val="24"/>
        </w:rPr>
      </w:pPr>
      <w:r>
        <w:rPr>
          <w:rFonts w:cs="Arial"/>
          <w:b/>
          <w:sz w:val="22"/>
          <w:szCs w:val="22"/>
          <w:lang w:val="en-US"/>
        </w:rPr>
        <w:t>E-meeting</w:t>
      </w:r>
      <w:r w:rsidR="00D0573B" w:rsidRPr="008D1868">
        <w:rPr>
          <w:rFonts w:cs="Arial"/>
          <w:b/>
          <w:sz w:val="22"/>
          <w:szCs w:val="22"/>
          <w:lang w:val="en-US"/>
        </w:rPr>
        <w:t xml:space="preserve">, </w:t>
      </w:r>
      <w:r>
        <w:rPr>
          <w:rFonts w:cs="Arial"/>
          <w:b/>
          <w:sz w:val="22"/>
          <w:szCs w:val="22"/>
          <w:lang w:val="en-US"/>
        </w:rPr>
        <w:t>April</w:t>
      </w:r>
      <w:r w:rsidRPr="008D1868">
        <w:rPr>
          <w:rFonts w:cs="Arial"/>
          <w:b/>
          <w:sz w:val="22"/>
          <w:szCs w:val="22"/>
          <w:lang w:val="en-US"/>
        </w:rPr>
        <w:t xml:space="preserve"> </w:t>
      </w:r>
      <w:r w:rsidR="00D0573B" w:rsidRPr="008D1868">
        <w:rPr>
          <w:rFonts w:cs="Arial"/>
          <w:b/>
          <w:sz w:val="22"/>
          <w:szCs w:val="22"/>
          <w:lang w:val="en-US"/>
        </w:rPr>
        <w:t>202</w:t>
      </w:r>
      <w:r w:rsidR="0009550D">
        <w:rPr>
          <w:rFonts w:cs="Arial"/>
          <w:b/>
          <w:sz w:val="22"/>
          <w:szCs w:val="22"/>
          <w:lang w:val="en-US"/>
        </w:rPr>
        <w:t>3</w:t>
      </w:r>
      <w:r w:rsidR="00D0573B">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5CC6D581" w:rsidR="00D0573B" w:rsidRDefault="00D0573B">
      <w:pPr>
        <w:pStyle w:val="3GPPHeader"/>
        <w:rPr>
          <w:sz w:val="22"/>
          <w:szCs w:val="22"/>
        </w:rPr>
      </w:pPr>
      <w:r w:rsidRPr="000575E5">
        <w:rPr>
          <w:sz w:val="22"/>
          <w:szCs w:val="22"/>
        </w:rPr>
        <w:t>Agenda Item:</w:t>
      </w:r>
      <w:r w:rsidRPr="000575E5">
        <w:rPr>
          <w:sz w:val="22"/>
          <w:szCs w:val="22"/>
        </w:rPr>
        <w:tab/>
      </w:r>
      <w:r w:rsidR="00125CD6" w:rsidRPr="00125CD6">
        <w:rPr>
          <w:sz w:val="22"/>
          <w:szCs w:val="22"/>
        </w:rPr>
        <w:t>7.25</w:t>
      </w:r>
      <w:r w:rsidR="00C75156" w:rsidRPr="00125CD6">
        <w:rPr>
          <w:sz w:val="22"/>
          <w:szCs w:val="22"/>
        </w:rPr>
        <w:t>.2</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26AB9815" w:rsidR="00D0573B" w:rsidRDefault="00D0573B">
      <w:pPr>
        <w:pStyle w:val="3GPPHeader"/>
        <w:rPr>
          <w:sz w:val="22"/>
          <w:szCs w:val="22"/>
        </w:rPr>
      </w:pPr>
      <w:r>
        <w:rPr>
          <w:sz w:val="22"/>
          <w:szCs w:val="22"/>
        </w:rPr>
        <w:t>Title:</w:t>
      </w:r>
      <w:r>
        <w:rPr>
          <w:sz w:val="22"/>
          <w:szCs w:val="22"/>
        </w:rPr>
        <w:tab/>
      </w:r>
      <w:r w:rsidR="00D9430A">
        <w:rPr>
          <w:sz w:val="22"/>
          <w:szCs w:val="22"/>
        </w:rPr>
        <w:t xml:space="preserve">Discussion on </w:t>
      </w:r>
      <w:r w:rsidR="00E47239">
        <w:rPr>
          <w:sz w:val="22"/>
          <w:szCs w:val="22"/>
        </w:rPr>
        <w:t>R18 UL Tx switching</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0C974B52" w14:textId="61689FDE" w:rsidR="002D485A" w:rsidRPr="0029477E" w:rsidRDefault="00D0573B" w:rsidP="0029477E">
      <w:pPr>
        <w:pStyle w:val="ac"/>
        <w:spacing w:before="120"/>
      </w:pPr>
      <w:r>
        <w:rPr>
          <w:rFonts w:cs="Arial"/>
        </w:rPr>
        <w:t xml:space="preserve">This is </w:t>
      </w:r>
      <w:bookmarkStart w:id="5" w:name="_Ref178064866"/>
      <w:r w:rsidR="003264B4">
        <w:rPr>
          <w:rFonts w:cs="Arial"/>
        </w:rPr>
        <w:t xml:space="preserve">to discuss the </w:t>
      </w:r>
      <w:r w:rsidR="004A6CE6">
        <w:rPr>
          <w:rFonts w:cs="Arial"/>
        </w:rPr>
        <w:t>left issues for Tx switching</w:t>
      </w:r>
      <w:r w:rsidR="0029477E">
        <w:rPr>
          <w:rFonts w:cs="Arial"/>
        </w:rPr>
        <w:t>.</w:t>
      </w:r>
    </w:p>
    <w:bookmarkEnd w:id="5"/>
    <w:p w14:paraId="23312DF5" w14:textId="3E7FDE75" w:rsidR="00D0573B" w:rsidRDefault="007E5320" w:rsidP="005662A3">
      <w:pPr>
        <w:pStyle w:val="1"/>
        <w:ind w:left="720" w:hangingChars="200" w:hanging="720"/>
        <w:jc w:val="both"/>
      </w:pPr>
      <w:r>
        <w:t>Discussion</w:t>
      </w:r>
      <w:r w:rsidR="0009550D">
        <w:t xml:space="preserve"> on </w:t>
      </w:r>
      <w:r w:rsidR="00A141C5">
        <w:t xml:space="preserve">UE </w:t>
      </w:r>
      <w:r w:rsidR="0009550D">
        <w:t>Cap</w:t>
      </w:r>
      <w:r w:rsidR="0054499E">
        <w:t>a</w:t>
      </w:r>
      <w:r w:rsidR="0009550D">
        <w:t>bility</w:t>
      </w:r>
    </w:p>
    <w:p w14:paraId="464D894B" w14:textId="1D4E4057" w:rsidR="0009550D" w:rsidRDefault="00835C00" w:rsidP="00E47239">
      <w:pPr>
        <w:pStyle w:val="2"/>
      </w:pPr>
      <w:r>
        <w:t>Issues in [Post121][045]</w:t>
      </w:r>
    </w:p>
    <w:p w14:paraId="1F7A4536" w14:textId="1B5632D5" w:rsidR="0009550D" w:rsidRDefault="0009550D" w:rsidP="0009550D">
      <w:r>
        <w:t xml:space="preserve">Current RRC allows UE to report band-pair(s) supporting R16/R17 Tx-switching for a BC via </w:t>
      </w:r>
    </w:p>
    <w:p w14:paraId="5318CA67" w14:textId="77777777" w:rsidR="0009550D" w:rsidRPr="0009550D" w:rsidRDefault="0009550D" w:rsidP="00095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09550D">
        <w:rPr>
          <w:rFonts w:ascii="Courier New" w:eastAsia="Times New Roman" w:hAnsi="Courier New"/>
          <w:noProof/>
          <w:sz w:val="16"/>
          <w:lang w:eastAsia="en-GB"/>
        </w:rPr>
        <w:t xml:space="preserve">ULTxSwitchingBandPair-r16 ::=       </w:t>
      </w:r>
      <w:r w:rsidRPr="0009550D">
        <w:rPr>
          <w:rFonts w:ascii="Courier New" w:eastAsia="Times New Roman" w:hAnsi="Courier New"/>
          <w:noProof/>
          <w:color w:val="993366"/>
          <w:sz w:val="16"/>
          <w:lang w:eastAsia="en-GB"/>
        </w:rPr>
        <w:t>SEQUENCE</w:t>
      </w:r>
      <w:r w:rsidRPr="0009550D">
        <w:rPr>
          <w:rFonts w:ascii="Courier New" w:eastAsia="Times New Roman" w:hAnsi="Courier New"/>
          <w:noProof/>
          <w:sz w:val="16"/>
          <w:lang w:eastAsia="en-GB"/>
        </w:rPr>
        <w:t xml:space="preserve"> {</w:t>
      </w:r>
    </w:p>
    <w:p w14:paraId="7919BAFD" w14:textId="77777777" w:rsidR="0009550D" w:rsidRPr="0009550D" w:rsidRDefault="0009550D" w:rsidP="00095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highlight w:val="yellow"/>
          <w:lang w:eastAsia="en-GB"/>
        </w:rPr>
      </w:pPr>
      <w:r w:rsidRPr="0009550D">
        <w:rPr>
          <w:rFonts w:ascii="Courier New" w:eastAsia="Times New Roman" w:hAnsi="Courier New"/>
          <w:noProof/>
          <w:sz w:val="16"/>
          <w:lang w:eastAsia="en-GB"/>
        </w:rPr>
        <w:t xml:space="preserve">    </w:t>
      </w:r>
      <w:r w:rsidRPr="0009550D">
        <w:rPr>
          <w:rFonts w:ascii="Courier New" w:eastAsia="Times New Roman" w:hAnsi="Courier New"/>
          <w:noProof/>
          <w:sz w:val="16"/>
          <w:highlight w:val="yellow"/>
          <w:lang w:eastAsia="en-GB"/>
        </w:rPr>
        <w:t xml:space="preserve">bandIndexUL1-r16                    </w:t>
      </w:r>
      <w:r w:rsidRPr="0009550D">
        <w:rPr>
          <w:rFonts w:ascii="Courier New" w:eastAsia="Times New Roman" w:hAnsi="Courier New"/>
          <w:noProof/>
          <w:color w:val="993366"/>
          <w:sz w:val="16"/>
          <w:highlight w:val="yellow"/>
          <w:lang w:eastAsia="en-GB"/>
        </w:rPr>
        <w:t>INTEGER</w:t>
      </w:r>
      <w:r w:rsidRPr="0009550D">
        <w:rPr>
          <w:rFonts w:ascii="Courier New" w:eastAsia="Times New Roman" w:hAnsi="Courier New"/>
          <w:noProof/>
          <w:sz w:val="16"/>
          <w:highlight w:val="yellow"/>
          <w:lang w:eastAsia="en-GB"/>
        </w:rPr>
        <w:t>(1..maxSimultaneousBands),</w:t>
      </w:r>
    </w:p>
    <w:p w14:paraId="6B27797D" w14:textId="77777777" w:rsidR="0009550D" w:rsidRPr="0009550D" w:rsidRDefault="0009550D" w:rsidP="00095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09550D">
        <w:rPr>
          <w:rFonts w:ascii="Courier New" w:eastAsia="Times New Roman" w:hAnsi="Courier New"/>
          <w:noProof/>
          <w:sz w:val="16"/>
          <w:highlight w:val="yellow"/>
          <w:lang w:eastAsia="en-GB"/>
        </w:rPr>
        <w:t xml:space="preserve">    bandIndexUL2-r16                    </w:t>
      </w:r>
      <w:r w:rsidRPr="0009550D">
        <w:rPr>
          <w:rFonts w:ascii="Courier New" w:eastAsia="Times New Roman" w:hAnsi="Courier New"/>
          <w:noProof/>
          <w:color w:val="993366"/>
          <w:sz w:val="16"/>
          <w:highlight w:val="yellow"/>
          <w:lang w:eastAsia="en-GB"/>
        </w:rPr>
        <w:t>INTEGER</w:t>
      </w:r>
      <w:r w:rsidRPr="0009550D">
        <w:rPr>
          <w:rFonts w:ascii="Courier New" w:eastAsia="Times New Roman" w:hAnsi="Courier New"/>
          <w:noProof/>
          <w:sz w:val="16"/>
          <w:highlight w:val="yellow"/>
          <w:lang w:eastAsia="en-GB"/>
        </w:rPr>
        <w:t>(1..maxSimultaneousBands),</w:t>
      </w:r>
    </w:p>
    <w:p w14:paraId="646C9ABB" w14:textId="77777777" w:rsidR="0009550D" w:rsidRPr="0009550D" w:rsidRDefault="0009550D" w:rsidP="00095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09550D">
        <w:rPr>
          <w:rFonts w:ascii="Courier New" w:eastAsia="Times New Roman" w:hAnsi="Courier New"/>
          <w:noProof/>
          <w:sz w:val="16"/>
          <w:lang w:eastAsia="en-GB"/>
        </w:rPr>
        <w:t xml:space="preserve">    uplinkTxSwitchingPeriod-r16         </w:t>
      </w:r>
      <w:r w:rsidRPr="0009550D">
        <w:rPr>
          <w:rFonts w:ascii="Courier New" w:eastAsia="Times New Roman" w:hAnsi="Courier New"/>
          <w:noProof/>
          <w:color w:val="993366"/>
          <w:sz w:val="16"/>
          <w:lang w:eastAsia="en-GB"/>
        </w:rPr>
        <w:t>ENUMERATED</w:t>
      </w:r>
      <w:r w:rsidRPr="0009550D">
        <w:rPr>
          <w:rFonts w:ascii="Courier New" w:eastAsia="Times New Roman" w:hAnsi="Courier New"/>
          <w:noProof/>
          <w:sz w:val="16"/>
          <w:lang w:eastAsia="en-GB"/>
        </w:rPr>
        <w:t xml:space="preserve"> {n35us, n140us, n210us},</w:t>
      </w:r>
    </w:p>
    <w:p w14:paraId="3578EE8C" w14:textId="77777777" w:rsidR="0009550D" w:rsidRPr="0009550D" w:rsidRDefault="0009550D" w:rsidP="00095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09550D">
        <w:rPr>
          <w:rFonts w:ascii="Courier New" w:eastAsia="Times New Roman" w:hAnsi="Courier New"/>
          <w:noProof/>
          <w:sz w:val="16"/>
          <w:lang w:eastAsia="en-GB"/>
        </w:rPr>
        <w:t xml:space="preserve">    uplinkTxSwitching-DL-Interruption-r16 </w:t>
      </w:r>
      <w:r w:rsidRPr="0009550D">
        <w:rPr>
          <w:rFonts w:ascii="Courier New" w:eastAsia="Times New Roman" w:hAnsi="Courier New"/>
          <w:noProof/>
          <w:color w:val="993366"/>
          <w:sz w:val="16"/>
          <w:lang w:eastAsia="en-GB"/>
        </w:rPr>
        <w:t>BIT</w:t>
      </w:r>
      <w:r w:rsidRPr="0009550D">
        <w:rPr>
          <w:rFonts w:ascii="Courier New" w:eastAsia="Times New Roman" w:hAnsi="Courier New"/>
          <w:noProof/>
          <w:sz w:val="16"/>
          <w:lang w:eastAsia="en-GB"/>
        </w:rPr>
        <w:t xml:space="preserve"> </w:t>
      </w:r>
      <w:r w:rsidRPr="0009550D">
        <w:rPr>
          <w:rFonts w:ascii="Courier New" w:eastAsia="Times New Roman" w:hAnsi="Courier New"/>
          <w:noProof/>
          <w:color w:val="993366"/>
          <w:sz w:val="16"/>
          <w:lang w:eastAsia="en-GB"/>
        </w:rPr>
        <w:t>STRING</w:t>
      </w:r>
      <w:r w:rsidRPr="0009550D">
        <w:rPr>
          <w:rFonts w:ascii="Courier New" w:eastAsia="Times New Roman" w:hAnsi="Courier New"/>
          <w:noProof/>
          <w:sz w:val="16"/>
          <w:lang w:eastAsia="en-GB"/>
        </w:rPr>
        <w:t xml:space="preserve"> (</w:t>
      </w:r>
      <w:r w:rsidRPr="0009550D">
        <w:rPr>
          <w:rFonts w:ascii="Courier New" w:eastAsia="Times New Roman" w:hAnsi="Courier New"/>
          <w:noProof/>
          <w:color w:val="993366"/>
          <w:sz w:val="16"/>
          <w:lang w:eastAsia="en-GB"/>
        </w:rPr>
        <w:t>SIZE</w:t>
      </w:r>
      <w:r w:rsidRPr="0009550D">
        <w:rPr>
          <w:rFonts w:ascii="Courier New" w:eastAsia="Times New Roman" w:hAnsi="Courier New"/>
          <w:noProof/>
          <w:sz w:val="16"/>
          <w:lang w:eastAsia="en-GB"/>
        </w:rPr>
        <w:t xml:space="preserve">(1..maxSimultaneousBands)) </w:t>
      </w:r>
      <w:r w:rsidRPr="0009550D">
        <w:rPr>
          <w:rFonts w:ascii="Courier New" w:eastAsia="Times New Roman" w:hAnsi="Courier New"/>
          <w:noProof/>
          <w:color w:val="993366"/>
          <w:sz w:val="16"/>
          <w:lang w:eastAsia="en-GB"/>
        </w:rPr>
        <w:t>OPTIONAL</w:t>
      </w:r>
    </w:p>
    <w:p w14:paraId="7B6438F0" w14:textId="77777777" w:rsidR="0009550D" w:rsidRPr="0009550D" w:rsidRDefault="0009550D" w:rsidP="00095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09550D">
        <w:rPr>
          <w:rFonts w:ascii="Courier New" w:eastAsia="Times New Roman" w:hAnsi="Courier New"/>
          <w:noProof/>
          <w:sz w:val="16"/>
          <w:lang w:eastAsia="en-GB"/>
        </w:rPr>
        <w:t>}</w:t>
      </w:r>
    </w:p>
    <w:p w14:paraId="7779CA3D" w14:textId="77777777" w:rsidR="0009550D" w:rsidRDefault="0009550D" w:rsidP="0009550D">
      <w:pPr>
        <w:spacing w:beforeLines="50" w:before="120"/>
      </w:pPr>
      <w:r>
        <w:rPr>
          <w:rFonts w:hint="eastAsia"/>
        </w:rPr>
        <w:t>I</w:t>
      </w:r>
      <w:r>
        <w:t xml:space="preserve">f we reuse the r16 band pair indication, e.g., for a 3-band BC of band-A/B/C, if UE report </w:t>
      </w:r>
    </w:p>
    <w:p w14:paraId="4FB9DF67" w14:textId="6730B43F" w:rsidR="0009550D" w:rsidRDefault="0009550D" w:rsidP="0009550D">
      <w:pPr>
        <w:spacing w:beforeLines="50" w:before="120"/>
      </w:pPr>
      <w:r>
        <w:rPr>
          <w:rFonts w:hint="eastAsia"/>
        </w:rPr>
        <w:t>a/</w:t>
      </w:r>
      <w:r>
        <w:t xml:space="preserve"> A 3-band FSC,</w:t>
      </w:r>
      <w:r w:rsidRPr="0009550D">
        <w:t xml:space="preserve"> </w:t>
      </w:r>
      <w:r>
        <w:t>where MIMO layer = 2 for all band-A/B/C</w:t>
      </w:r>
      <w:r>
        <w:rPr>
          <w:rFonts w:hint="eastAsia"/>
        </w:rPr>
        <w:t>,</w:t>
      </w:r>
      <w:r>
        <w:t xml:space="preserve"> and </w:t>
      </w:r>
    </w:p>
    <w:p w14:paraId="07EC522F" w14:textId="77777777" w:rsidR="0009550D" w:rsidRDefault="0009550D" w:rsidP="0009550D">
      <w:pPr>
        <w:spacing w:beforeLines="50" w:before="120"/>
      </w:pPr>
      <w:r>
        <w:t xml:space="preserve">b/ </w:t>
      </w:r>
      <w:r>
        <w:rPr>
          <w:rFonts w:hint="eastAsia"/>
        </w:rPr>
        <w:t>three</w:t>
      </w:r>
      <w:r>
        <w:t xml:space="preserve"> band-pairs for Tx switching, i.e., A+B, B+C, A+</w:t>
      </w:r>
      <w:proofErr w:type="gramStart"/>
      <w:r>
        <w:t>C</w:t>
      </w:r>
      <w:proofErr w:type="gramEnd"/>
    </w:p>
    <w:p w14:paraId="1B6493EE" w14:textId="33DDE11C" w:rsidR="0009550D" w:rsidRDefault="0009550D" w:rsidP="0009550D">
      <w:pPr>
        <w:spacing w:beforeLines="50" w:before="120"/>
      </w:pPr>
      <w:r>
        <w:t>It may have two interpretations:</w:t>
      </w:r>
    </w:p>
    <w:p w14:paraId="43DF8FF5" w14:textId="714D2756" w:rsidR="0009550D" w:rsidRDefault="0009550D" w:rsidP="0009550D">
      <w:pPr>
        <w:spacing w:beforeLines="50" w:before="120"/>
      </w:pPr>
      <w:r>
        <w:rPr>
          <w:rFonts w:hint="eastAsia"/>
        </w:rPr>
        <w:t>1</w:t>
      </w:r>
      <w:r>
        <w:t xml:space="preserve">/ UE supports 2-band switching on </w:t>
      </w:r>
      <w:r w:rsidR="00356082">
        <w:rPr>
          <w:rFonts w:hint="eastAsia"/>
        </w:rPr>
        <w:t>two bands</w:t>
      </w:r>
      <w:r w:rsidR="00356082">
        <w:t xml:space="preserve">, e.g., </w:t>
      </w:r>
      <w:r>
        <w:t>band A+B, e.g.,</w:t>
      </w:r>
      <w:r w:rsidR="00125CD6">
        <w:t xml:space="preserve"> switching between</w:t>
      </w:r>
      <w:r>
        <w:t xml:space="preserve"> (2T, 0T)</w:t>
      </w:r>
      <w:r w:rsidR="00125CD6">
        <w:t xml:space="preserve">, </w:t>
      </w:r>
      <w:r>
        <w:t>(</w:t>
      </w:r>
      <w:r w:rsidR="00125CD6">
        <w:t>1</w:t>
      </w:r>
      <w:r>
        <w:t xml:space="preserve">T, </w:t>
      </w:r>
      <w:r w:rsidR="00125CD6">
        <w:t>1</w:t>
      </w:r>
      <w:r>
        <w:t>T)</w:t>
      </w:r>
      <w:r w:rsidR="00125CD6">
        <w:t xml:space="preserve"> and (0T, 2T)</w:t>
      </w:r>
      <w:r>
        <w:t>. Similarly for B+C and A+C.</w:t>
      </w:r>
    </w:p>
    <w:p w14:paraId="06375D80" w14:textId="162EEABB" w:rsidR="0009550D" w:rsidRDefault="0009550D" w:rsidP="0009550D">
      <w:pPr>
        <w:spacing w:beforeLines="50" w:before="120"/>
      </w:pPr>
      <w:r>
        <w:rPr>
          <w:rFonts w:hint="eastAsia"/>
        </w:rPr>
        <w:t>2</w:t>
      </w:r>
      <w:r>
        <w:t xml:space="preserve">/ UE supports R18 3-band switching on band A+B+C, i.e., </w:t>
      </w:r>
      <w:r w:rsidR="00125CD6">
        <w:t xml:space="preserve">switching between </w:t>
      </w:r>
      <w:r>
        <w:t>(</w:t>
      </w:r>
      <w:r w:rsidR="00125CD6">
        <w:t>1</w:t>
      </w:r>
      <w:r>
        <w:t xml:space="preserve">T, </w:t>
      </w:r>
      <w:r w:rsidR="00125CD6">
        <w:t>1</w:t>
      </w:r>
      <w:r>
        <w:t>T, 0T)</w:t>
      </w:r>
      <w:r w:rsidR="00125CD6">
        <w:t xml:space="preserve"> and </w:t>
      </w:r>
      <w:r>
        <w:t xml:space="preserve">(0T, </w:t>
      </w:r>
      <w:r w:rsidR="00125CD6">
        <w:t>0</w:t>
      </w:r>
      <w:r>
        <w:t xml:space="preserve">T, </w:t>
      </w:r>
      <w:r w:rsidR="00125CD6">
        <w:t>2</w:t>
      </w:r>
      <w:r>
        <w:t>T)</w:t>
      </w:r>
      <w:r w:rsidR="00125CD6">
        <w:t>.</w:t>
      </w:r>
    </w:p>
    <w:p w14:paraId="28293A7E" w14:textId="77777777" w:rsidR="00125CD6" w:rsidRDefault="003A1B2A" w:rsidP="0009550D">
      <w:pPr>
        <w:spacing w:beforeLines="50" w:before="120"/>
      </w:pPr>
      <w:r>
        <w:t>One</w:t>
      </w:r>
      <w:r w:rsidR="0009550D">
        <w:t xml:space="preserve"> solution is to allow 3/4-band </w:t>
      </w:r>
      <w:proofErr w:type="gramStart"/>
      <w:r w:rsidR="0009550D">
        <w:t>FSC, but</w:t>
      </w:r>
      <w:proofErr w:type="gramEnd"/>
      <w:r w:rsidR="0009550D">
        <w:t xml:space="preserve"> differentiate between indication of 2-band Tx switching and 3/4-band Tx switching. E.g., </w:t>
      </w:r>
    </w:p>
    <w:p w14:paraId="7FF961D1" w14:textId="77777777" w:rsidR="00125CD6" w:rsidRDefault="00125CD6" w:rsidP="0009550D">
      <w:pPr>
        <w:spacing w:beforeLines="50" w:before="120"/>
      </w:pPr>
      <w:r>
        <w:t>1/ R</w:t>
      </w:r>
      <w:r w:rsidR="0009550D">
        <w:t xml:space="preserve">elying on </w:t>
      </w:r>
      <w:r w:rsidR="0009550D" w:rsidRPr="0009550D">
        <w:t>bandIndexUL</w:t>
      </w:r>
      <w:r w:rsidR="0009550D">
        <w:t>xx</w:t>
      </w:r>
      <w:r w:rsidR="0009550D" w:rsidRPr="0009550D">
        <w:t>-r16</w:t>
      </w:r>
      <w:r w:rsidR="007D4A8F">
        <w:t xml:space="preserve"> / </w:t>
      </w:r>
      <w:r w:rsidR="007D4A8F" w:rsidRPr="007D4A8F">
        <w:t>uplinkTxSwitchingPeriod-r16</w:t>
      </w:r>
      <w:r w:rsidR="007D4A8F">
        <w:t xml:space="preserve"> / </w:t>
      </w:r>
      <w:r w:rsidR="007D4A8F" w:rsidRPr="007D4A8F">
        <w:t>uplinkTxSwitchingPeriod2T2T-r17</w:t>
      </w:r>
      <w:r w:rsidR="0009550D">
        <w:t xml:space="preserve"> for 2-band switching, but </w:t>
      </w:r>
    </w:p>
    <w:p w14:paraId="65BEFE2B" w14:textId="3D6DA47C" w:rsidR="007D4A8F" w:rsidRDefault="00125CD6" w:rsidP="0009550D">
      <w:pPr>
        <w:spacing w:beforeLines="50" w:before="120"/>
      </w:pPr>
      <w:r>
        <w:t>2/ I</w:t>
      </w:r>
      <w:r w:rsidR="0009550D">
        <w:t>ntroduc</w:t>
      </w:r>
      <w:r w:rsidR="0054499E">
        <w:t>ing</w:t>
      </w:r>
      <w:r w:rsidR="0009550D">
        <w:t xml:space="preserve"> a </w:t>
      </w:r>
      <w:r w:rsidR="00E513AC" w:rsidRPr="0009550D">
        <w:t>bandIndexUL</w:t>
      </w:r>
      <w:r w:rsidR="00E513AC">
        <w:t>xx</w:t>
      </w:r>
      <w:r w:rsidR="00E513AC" w:rsidRPr="0009550D">
        <w:t>-</w:t>
      </w:r>
      <w:r w:rsidR="00E513AC">
        <w:t>v</w:t>
      </w:r>
      <w:r w:rsidR="0009550D">
        <w:t>18 indication</w:t>
      </w:r>
      <w:r w:rsidR="007D4A8F">
        <w:t xml:space="preserve"> / </w:t>
      </w:r>
      <w:r w:rsidR="007D4A8F" w:rsidRPr="007D4A8F">
        <w:t>uplinkTxSwitchingPeriod-r1</w:t>
      </w:r>
      <w:r w:rsidR="007D4A8F">
        <w:t>8</w:t>
      </w:r>
      <w:r w:rsidR="0009550D">
        <w:t xml:space="preserve"> for 3/4-band switching. </w:t>
      </w:r>
    </w:p>
    <w:p w14:paraId="0A11DB20" w14:textId="305DAA2F" w:rsidR="007D4A8F" w:rsidRDefault="007D4A8F" w:rsidP="0009550D">
      <w:pPr>
        <w:spacing w:beforeLines="50" w:before="120"/>
      </w:pPr>
      <w:r>
        <w:rPr>
          <w:rFonts w:hint="eastAsia"/>
        </w:rPr>
        <w:t>G</w:t>
      </w:r>
      <w:r>
        <w:t>iven the following restriction</w:t>
      </w:r>
      <w:r w:rsidR="00125CD6">
        <w:t xml:space="preserve">, it seems </w:t>
      </w:r>
      <w:proofErr w:type="gramStart"/>
      <w:r w:rsidR="00125CD6">
        <w:t>feasible</w:t>
      </w:r>
      <w:proofErr w:type="gramEnd"/>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1"/>
      </w:tblGrid>
      <w:tr w:rsidR="007D4A8F" w:rsidRPr="007D4A8F" w14:paraId="414725DC" w14:textId="77777777" w:rsidTr="00125CD6">
        <w:tc>
          <w:tcPr>
            <w:tcW w:w="9581" w:type="dxa"/>
            <w:tcBorders>
              <w:top w:val="single" w:sz="4" w:space="0" w:color="auto"/>
              <w:left w:val="single" w:sz="4" w:space="0" w:color="auto"/>
              <w:bottom w:val="single" w:sz="4" w:space="0" w:color="auto"/>
              <w:right w:val="single" w:sz="4" w:space="0" w:color="auto"/>
            </w:tcBorders>
          </w:tcPr>
          <w:p w14:paraId="2E9EB2E0" w14:textId="77777777" w:rsidR="007D4A8F" w:rsidRPr="007D4A8F" w:rsidRDefault="007D4A8F" w:rsidP="007D4A8F">
            <w:pPr>
              <w:keepNext/>
              <w:keepLines/>
              <w:spacing w:after="0"/>
              <w:jc w:val="left"/>
              <w:rPr>
                <w:rFonts w:eastAsia="Times New Roman"/>
                <w:b/>
                <w:bCs/>
                <w:i/>
                <w:iCs/>
                <w:sz w:val="18"/>
                <w:lang w:eastAsia="sv-SE"/>
              </w:rPr>
            </w:pPr>
            <w:r w:rsidRPr="007D4A8F">
              <w:rPr>
                <w:rFonts w:eastAsia="Times New Roman"/>
                <w:b/>
                <w:bCs/>
                <w:i/>
                <w:iCs/>
                <w:sz w:val="18"/>
                <w:lang w:eastAsia="sv-SE"/>
              </w:rPr>
              <w:t>supportedBandPairListNR-r16, supportedBandPairListNR-v1700</w:t>
            </w:r>
          </w:p>
          <w:p w14:paraId="19411837" w14:textId="77777777" w:rsidR="007D4A8F" w:rsidRPr="007D4A8F" w:rsidRDefault="007D4A8F" w:rsidP="007D4A8F">
            <w:pPr>
              <w:keepNext/>
              <w:keepLines/>
              <w:spacing w:after="0"/>
              <w:jc w:val="left"/>
              <w:rPr>
                <w:rFonts w:eastAsia="Times New Roman"/>
                <w:sz w:val="18"/>
                <w:lang w:eastAsia="sv-SE"/>
              </w:rPr>
            </w:pPr>
            <w:r w:rsidRPr="007D4A8F">
              <w:rPr>
                <w:rFonts w:eastAsia="Times New Roman"/>
                <w:sz w:val="18"/>
                <w:lang w:eastAsia="sv-SE"/>
              </w:rPr>
              <w:t>Indicates a list of band pair supporting UL Tx switching as defined in TS 38.101-1 [15] for a given band combination.</w:t>
            </w:r>
          </w:p>
          <w:p w14:paraId="714AAB7A" w14:textId="77777777" w:rsidR="007D4A8F" w:rsidRPr="007D4A8F" w:rsidRDefault="007D4A8F" w:rsidP="007D4A8F">
            <w:pPr>
              <w:keepNext/>
              <w:keepLines/>
              <w:spacing w:after="0"/>
              <w:jc w:val="left"/>
              <w:rPr>
                <w:rFonts w:eastAsia="Times New Roman"/>
                <w:sz w:val="18"/>
                <w:lang w:eastAsia="sv-SE"/>
              </w:rPr>
            </w:pPr>
            <w:r w:rsidRPr="00125CD6">
              <w:rPr>
                <w:rFonts w:eastAsia="Times New Roman"/>
                <w:sz w:val="18"/>
                <w:highlight w:val="yellow"/>
                <w:lang w:eastAsia="sv-SE"/>
              </w:rPr>
              <w:t xml:space="preserve">A UE supporting 2Tx-2Tx switching should include both of </w:t>
            </w:r>
            <w:r w:rsidRPr="00125CD6">
              <w:rPr>
                <w:rFonts w:eastAsia="Times New Roman"/>
                <w:i/>
                <w:iCs/>
                <w:sz w:val="18"/>
                <w:highlight w:val="yellow"/>
                <w:lang w:eastAsia="sv-SE"/>
              </w:rPr>
              <w:t>supportedBandPairListNR-r16</w:t>
            </w:r>
            <w:r w:rsidRPr="00125CD6">
              <w:rPr>
                <w:rFonts w:eastAsia="Times New Roman"/>
                <w:sz w:val="18"/>
                <w:highlight w:val="yellow"/>
                <w:lang w:eastAsia="sv-SE"/>
              </w:rPr>
              <w:t xml:space="preserve"> and </w:t>
            </w:r>
            <w:r w:rsidRPr="00125CD6">
              <w:rPr>
                <w:rFonts w:eastAsia="Times New Roman"/>
                <w:i/>
                <w:iCs/>
                <w:sz w:val="18"/>
                <w:highlight w:val="yellow"/>
                <w:lang w:eastAsia="sv-SE"/>
              </w:rPr>
              <w:t>supportedBandPairListNR-v1700</w:t>
            </w:r>
            <w:r w:rsidRPr="00125CD6">
              <w:rPr>
                <w:rFonts w:eastAsia="Times New Roman"/>
                <w:sz w:val="18"/>
                <w:highlight w:val="yellow"/>
                <w:lang w:eastAsia="sv-SE"/>
              </w:rPr>
              <w:t>.</w:t>
            </w:r>
            <w:r w:rsidRPr="007D4A8F">
              <w:rPr>
                <w:rFonts w:eastAsia="Times New Roman"/>
                <w:sz w:val="18"/>
                <w:lang w:eastAsia="sv-SE"/>
              </w:rPr>
              <w:t xml:space="preserve"> And the UE shall include the same number of entries listed in the same order as in </w:t>
            </w:r>
            <w:r w:rsidRPr="007D4A8F">
              <w:rPr>
                <w:rFonts w:eastAsia="Times New Roman"/>
                <w:i/>
                <w:iCs/>
                <w:sz w:val="18"/>
                <w:lang w:eastAsia="sv-SE"/>
              </w:rPr>
              <w:t>supportedBandPairListNR-r16</w:t>
            </w:r>
            <w:r w:rsidRPr="007D4A8F">
              <w:rPr>
                <w:rFonts w:eastAsia="Times New Roman"/>
                <w:sz w:val="18"/>
                <w:lang w:eastAsia="sv-SE"/>
              </w:rPr>
              <w:t>.</w:t>
            </w:r>
          </w:p>
          <w:p w14:paraId="58A15BAF" w14:textId="77777777" w:rsidR="007D4A8F" w:rsidRPr="007D4A8F" w:rsidRDefault="007D4A8F" w:rsidP="007D4A8F">
            <w:pPr>
              <w:keepNext/>
              <w:keepLines/>
              <w:spacing w:after="0"/>
              <w:jc w:val="left"/>
              <w:rPr>
                <w:rFonts w:eastAsia="Times New Roman"/>
                <w:sz w:val="18"/>
                <w:lang w:eastAsia="sv-SE"/>
              </w:rPr>
            </w:pPr>
            <w:r w:rsidRPr="007D4A8F">
              <w:rPr>
                <w:rFonts w:eastAsia="Times New Roman"/>
                <w:sz w:val="18"/>
                <w:lang w:eastAsia="sv-SE"/>
              </w:rPr>
              <w:t xml:space="preserve">If the UE does not support 2Tx-2Tx switching for a given band pair, the field of </w:t>
            </w:r>
            <w:r w:rsidRPr="007D4A8F">
              <w:rPr>
                <w:rFonts w:eastAsia="Times New Roman"/>
                <w:i/>
                <w:iCs/>
                <w:sz w:val="18"/>
                <w:lang w:eastAsia="sv-SE"/>
              </w:rPr>
              <w:t>uplinkTxSwitchingPeriod2T2T</w:t>
            </w:r>
            <w:r w:rsidRPr="007D4A8F">
              <w:rPr>
                <w:rFonts w:eastAsia="Times New Roman"/>
                <w:sz w:val="18"/>
                <w:lang w:eastAsia="sv-SE"/>
              </w:rPr>
              <w:t xml:space="preserve"> in the corresponding entry is absent.</w:t>
            </w:r>
          </w:p>
        </w:tc>
      </w:tr>
    </w:tbl>
    <w:p w14:paraId="35F33342" w14:textId="7C33786B" w:rsidR="00835C00" w:rsidRDefault="00835C00" w:rsidP="00835C00">
      <w:pPr>
        <w:spacing w:beforeLines="50" w:before="120"/>
      </w:pPr>
      <w:r>
        <w:rPr>
          <w:rFonts w:hint="eastAsia"/>
        </w:rPr>
        <w:t>A</w:t>
      </w:r>
      <w:r>
        <w:t xml:space="preserve">s captured in P6 of [045] </w:t>
      </w:r>
    </w:p>
    <w:p w14:paraId="0ECABD83" w14:textId="77777777" w:rsidR="00835C00" w:rsidRDefault="00835C00" w:rsidP="00835C00">
      <w:pPr>
        <w:pBdr>
          <w:top w:val="single" w:sz="4" w:space="1" w:color="auto"/>
          <w:left w:val="single" w:sz="4" w:space="1" w:color="auto"/>
          <w:bottom w:val="single" w:sz="4" w:space="1" w:color="auto"/>
          <w:right w:val="single" w:sz="4" w:space="1" w:color="auto"/>
        </w:pBdr>
        <w:spacing w:beforeLines="50" w:before="120"/>
      </w:pPr>
      <w:r>
        <w:t xml:space="preserve">Proposal 6.  Continue discussion to </w:t>
      </w:r>
      <w:proofErr w:type="gramStart"/>
      <w:r>
        <w:t>down-select</w:t>
      </w:r>
      <w:proofErr w:type="gramEnd"/>
      <w:r>
        <w:t xml:space="preserve"> from following alternatives.</w:t>
      </w:r>
    </w:p>
    <w:p w14:paraId="12D5021D" w14:textId="77777777" w:rsidR="00835C00" w:rsidRDefault="00835C00" w:rsidP="00835C00">
      <w:pPr>
        <w:pBdr>
          <w:top w:val="single" w:sz="4" w:space="1" w:color="auto"/>
          <w:left w:val="single" w:sz="4" w:space="1" w:color="auto"/>
          <w:bottom w:val="single" w:sz="4" w:space="1" w:color="auto"/>
          <w:right w:val="single" w:sz="4" w:space="1" w:color="auto"/>
        </w:pBdr>
        <w:spacing w:beforeLines="50" w:before="120"/>
      </w:pPr>
      <w:r>
        <w:lastRenderedPageBreak/>
        <w:t>Alt.1:   RAN2 introduce one per-band-pair UE capability to report a length of a switching period.</w:t>
      </w:r>
    </w:p>
    <w:p w14:paraId="10BEDCDE" w14:textId="77777777" w:rsidR="00835C00" w:rsidRDefault="00835C00" w:rsidP="00835C00">
      <w:pPr>
        <w:pBdr>
          <w:top w:val="single" w:sz="4" w:space="1" w:color="auto"/>
          <w:left w:val="single" w:sz="4" w:space="1" w:color="auto"/>
          <w:bottom w:val="single" w:sz="4" w:space="1" w:color="auto"/>
          <w:right w:val="single" w:sz="4" w:space="1" w:color="auto"/>
        </w:pBdr>
        <w:spacing w:beforeLines="50" w:before="120"/>
      </w:pPr>
      <w:r>
        <w:t>Alt.2a: RAN2 introduce two per-band-pair UE capabilities, a length of a switching period for 1Tx-2Tx switching (like Rel-16) and that for 2Tx-2Tx switching (like Rel-17). If the UE supports both 1T-2T and 2T-2T switching for the band pair, the UE shall report both capabilities.</w:t>
      </w:r>
    </w:p>
    <w:p w14:paraId="052BEB52" w14:textId="77777777" w:rsidR="00835C00" w:rsidRDefault="00835C00" w:rsidP="00835C00">
      <w:pPr>
        <w:pBdr>
          <w:top w:val="single" w:sz="4" w:space="1" w:color="auto"/>
          <w:left w:val="single" w:sz="4" w:space="1" w:color="auto"/>
          <w:bottom w:val="single" w:sz="4" w:space="1" w:color="auto"/>
          <w:right w:val="single" w:sz="4" w:space="1" w:color="auto"/>
        </w:pBdr>
        <w:spacing w:beforeLines="50" w:before="120"/>
      </w:pPr>
      <w:r>
        <w:t xml:space="preserve">Alt.2b: RAN2 introduce two per-band-pair UE capabilities, a length of a switching period for 1Tx-2Tx switching (like Rel-16) and that for 2Tx-2Tx switching (like Rel-17). If the UE supports both 1T-2T and 2T-2T switching for the band pair, the UE can </w:t>
      </w:r>
      <w:proofErr w:type="gramStart"/>
      <w:r>
        <w:t>report</w:t>
      </w:r>
      <w:proofErr w:type="gramEnd"/>
    </w:p>
    <w:p w14:paraId="00EF64E3" w14:textId="77777777" w:rsidR="00835C00" w:rsidRDefault="00835C00" w:rsidP="00835C00">
      <w:pPr>
        <w:pBdr>
          <w:top w:val="single" w:sz="4" w:space="1" w:color="auto"/>
          <w:left w:val="single" w:sz="4" w:space="1" w:color="auto"/>
          <w:bottom w:val="single" w:sz="4" w:space="1" w:color="auto"/>
          <w:right w:val="single" w:sz="4" w:space="1" w:color="auto"/>
        </w:pBdr>
        <w:spacing w:beforeLines="50" w:before="120"/>
      </w:pPr>
      <w:r>
        <w:t>- both capabilities.</w:t>
      </w:r>
    </w:p>
    <w:p w14:paraId="509F9FE4" w14:textId="7AFDFF80" w:rsidR="00835C00" w:rsidRDefault="00835C00" w:rsidP="00835C00">
      <w:pPr>
        <w:pBdr>
          <w:top w:val="single" w:sz="4" w:space="1" w:color="auto"/>
          <w:left w:val="single" w:sz="4" w:space="1" w:color="auto"/>
          <w:bottom w:val="single" w:sz="4" w:space="1" w:color="auto"/>
          <w:right w:val="single" w:sz="4" w:space="1" w:color="auto"/>
        </w:pBdr>
        <w:spacing w:beforeLines="50" w:before="120"/>
      </w:pPr>
      <w:r>
        <w:t>- either of capabilities to be applied to both switching. (FFS on which is reported.)</w:t>
      </w:r>
    </w:p>
    <w:p w14:paraId="12433BCA" w14:textId="354C3AC8" w:rsidR="00835C00" w:rsidRPr="00835C00" w:rsidRDefault="00835C00" w:rsidP="00835C00">
      <w:pPr>
        <w:spacing w:beforeLines="50" w:before="120"/>
      </w:pPr>
      <w:r>
        <w:t>The further issue is whether we need to have separate reporting for 1T-2T and 2T-2T, for which we believe</w:t>
      </w:r>
      <w:r w:rsidR="00A46983">
        <w:t xml:space="preserve"> there is no need to further complicate the procedure since UE can adopt a longer value of the two to report.</w:t>
      </w:r>
    </w:p>
    <w:p w14:paraId="583A530D" w14:textId="185D1391" w:rsidR="007D4A8F" w:rsidRDefault="00A46983" w:rsidP="00125CD6">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131520579"/>
      <w:r>
        <w:t xml:space="preserve">For P6 from [Post121][045], adopt Alt-1, and the UE </w:t>
      </w:r>
      <w:r w:rsidR="007D4A8F">
        <w:t>is mandatory to include the switching period value even if the value is the same as R16/17 2-band switching</w:t>
      </w:r>
      <w:r>
        <w:t>.</w:t>
      </w:r>
      <w:bookmarkEnd w:id="6"/>
    </w:p>
    <w:p w14:paraId="0DA17D96" w14:textId="45C49F3F" w:rsidR="00DF4FA6" w:rsidRDefault="00125CD6" w:rsidP="0009550D">
      <w:pPr>
        <w:spacing w:beforeLines="50" w:before="120"/>
      </w:pPr>
      <w:r>
        <w:t>Another issue is the feasibility of 3/4 band FSC entry</w:t>
      </w:r>
      <w:r w:rsidR="00DF4FA6">
        <w:t xml:space="preserve">, as captured in [045] </w:t>
      </w:r>
      <w:proofErr w:type="gramStart"/>
      <w:r w:rsidR="00DF4FA6">
        <w:t>summary</w:t>
      </w:r>
      <w:proofErr w:type="gramEnd"/>
    </w:p>
    <w:p w14:paraId="0AC8EF4F" w14:textId="77777777" w:rsidR="00DF4FA6" w:rsidRDefault="00DF4FA6" w:rsidP="00DF4FA6">
      <w:pPr>
        <w:pBdr>
          <w:top w:val="single" w:sz="4" w:space="1" w:color="auto"/>
          <w:left w:val="single" w:sz="4" w:space="4" w:color="auto"/>
          <w:bottom w:val="single" w:sz="4" w:space="1" w:color="auto"/>
          <w:right w:val="single" w:sz="4" w:space="4" w:color="auto"/>
        </w:pBdr>
        <w:spacing w:beforeLines="50" w:before="120"/>
      </w:pPr>
      <w:r>
        <w:t xml:space="preserve">Continue </w:t>
      </w:r>
      <w:proofErr w:type="gramStart"/>
      <w:r>
        <w:t>discussion</w:t>
      </w:r>
      <w:proofErr w:type="gramEnd"/>
    </w:p>
    <w:p w14:paraId="59916B8F" w14:textId="77777777" w:rsidR="00DF4FA6" w:rsidRDefault="00DF4FA6" w:rsidP="00DF4FA6">
      <w:pPr>
        <w:pBdr>
          <w:top w:val="single" w:sz="4" w:space="1" w:color="auto"/>
          <w:left w:val="single" w:sz="4" w:space="4" w:color="auto"/>
          <w:bottom w:val="single" w:sz="4" w:space="1" w:color="auto"/>
          <w:right w:val="single" w:sz="4" w:space="4" w:color="auto"/>
        </w:pBdr>
        <w:spacing w:beforeLines="50" w:before="120"/>
      </w:pPr>
      <w:r>
        <w:t>Proposal 1.  RAN2 wait for RAN4 conclusion on fallback of Rel-18 Tx switching to Rel-16/17 Tx switching. In parallel, RAN2 continue following discussion:</w:t>
      </w:r>
    </w:p>
    <w:p w14:paraId="3AD84031" w14:textId="77777777" w:rsidR="00DF4FA6" w:rsidRDefault="00DF4FA6" w:rsidP="00DF4FA6">
      <w:pPr>
        <w:pBdr>
          <w:top w:val="single" w:sz="4" w:space="1" w:color="auto"/>
          <w:left w:val="single" w:sz="4" w:space="4" w:color="auto"/>
          <w:bottom w:val="single" w:sz="4" w:space="1" w:color="auto"/>
          <w:right w:val="single" w:sz="4" w:space="4" w:color="auto"/>
        </w:pBdr>
        <w:spacing w:beforeLines="50" w:before="120"/>
      </w:pPr>
      <w:r>
        <w:t>-</w:t>
      </w:r>
      <w:r>
        <w:tab/>
        <w:t>If it is possible that UE supports both Rel-18 and Rel-16/17 UL Tx switching for the same band combination,</w:t>
      </w:r>
    </w:p>
    <w:p w14:paraId="15235937" w14:textId="77777777" w:rsidR="00DF4FA6" w:rsidRDefault="00DF4FA6" w:rsidP="00DF4FA6">
      <w:pPr>
        <w:pBdr>
          <w:top w:val="single" w:sz="4" w:space="1" w:color="auto"/>
          <w:left w:val="single" w:sz="4" w:space="4" w:color="auto"/>
          <w:bottom w:val="single" w:sz="4" w:space="1" w:color="auto"/>
          <w:right w:val="single" w:sz="4" w:space="4" w:color="auto"/>
        </w:pBdr>
        <w:spacing w:beforeLines="50" w:before="120"/>
      </w:pPr>
      <w:r>
        <w:t></w:t>
      </w:r>
      <w:r>
        <w:tab/>
        <w:t xml:space="preserve">Approach 1: the 3/4 </w:t>
      </w:r>
      <w:proofErr w:type="spellStart"/>
      <w:r>
        <w:t>FeatureSetUplink</w:t>
      </w:r>
      <w:proofErr w:type="spellEnd"/>
      <w:r>
        <w:t xml:space="preserve"> are reported in one row in FSC for the 3/4 UL bands involved in Rel-18 UL Tx </w:t>
      </w:r>
      <w:proofErr w:type="gramStart"/>
      <w:r>
        <w:t>switching;</w:t>
      </w:r>
      <w:proofErr w:type="gramEnd"/>
    </w:p>
    <w:p w14:paraId="08225C6A" w14:textId="77777777" w:rsidR="00DF4FA6" w:rsidRDefault="00DF4FA6" w:rsidP="00DF4FA6">
      <w:pPr>
        <w:pBdr>
          <w:top w:val="single" w:sz="4" w:space="1" w:color="auto"/>
          <w:left w:val="single" w:sz="4" w:space="4" w:color="auto"/>
          <w:bottom w:val="single" w:sz="4" w:space="1" w:color="auto"/>
          <w:right w:val="single" w:sz="4" w:space="4" w:color="auto"/>
        </w:pBdr>
        <w:spacing w:beforeLines="50" w:before="120"/>
      </w:pPr>
      <w:r>
        <w:t></w:t>
      </w:r>
      <w:r>
        <w:tab/>
        <w:t xml:space="preserve">Note: If Approach 1 is down-selected, the UE needs to guarantee the </w:t>
      </w:r>
      <w:proofErr w:type="spellStart"/>
      <w:r>
        <w:t>FeatureSetUplinks</w:t>
      </w:r>
      <w:proofErr w:type="spellEnd"/>
      <w:r>
        <w:t xml:space="preserve"> reported for Rel-18 UL Tx switching are applicable to Rel-16/Rel-17 Tx switching if the Rel-16/Rel-17 switching period is reported for that band pair and the same switching option of the band pair is supported for Rel-16/Rel-17 switching.</w:t>
      </w:r>
    </w:p>
    <w:p w14:paraId="29400249" w14:textId="77777777" w:rsidR="00DF4FA6" w:rsidRDefault="00DF4FA6" w:rsidP="00DF4FA6">
      <w:pPr>
        <w:pBdr>
          <w:top w:val="single" w:sz="4" w:space="1" w:color="auto"/>
          <w:left w:val="single" w:sz="4" w:space="4" w:color="auto"/>
          <w:bottom w:val="single" w:sz="4" w:space="1" w:color="auto"/>
          <w:right w:val="single" w:sz="4" w:space="4" w:color="auto"/>
        </w:pBdr>
        <w:spacing w:beforeLines="50" w:before="120"/>
      </w:pPr>
      <w:r>
        <w:t></w:t>
      </w:r>
      <w:r>
        <w:tab/>
        <w:t>Note: If Approach 1 is down-selected, discuss if UEs are allowed to report feature sets for Rel-16/17 UL Tx switching apart from that for Rel-18 UL Tx switching.</w:t>
      </w:r>
    </w:p>
    <w:p w14:paraId="55688E91" w14:textId="17A471B4" w:rsidR="00DF4FA6" w:rsidRDefault="00DF4FA6" w:rsidP="00DF4FA6">
      <w:pPr>
        <w:pBdr>
          <w:top w:val="single" w:sz="4" w:space="1" w:color="auto"/>
          <w:left w:val="single" w:sz="4" w:space="4" w:color="auto"/>
          <w:bottom w:val="single" w:sz="4" w:space="1" w:color="auto"/>
          <w:right w:val="single" w:sz="4" w:space="4" w:color="auto"/>
        </w:pBdr>
        <w:spacing w:beforeLines="50" w:before="120"/>
        <w:rPr>
          <w:rFonts w:hint="eastAsia"/>
        </w:rPr>
      </w:pPr>
      <w:r>
        <w:t></w:t>
      </w:r>
      <w:r>
        <w:tab/>
        <w:t xml:space="preserve">Approach 2: the </w:t>
      </w:r>
      <w:proofErr w:type="spellStart"/>
      <w:r>
        <w:t>FeatureSets</w:t>
      </w:r>
      <w:proofErr w:type="spellEnd"/>
      <w:r>
        <w:t xml:space="preserve"> reported for Rel-16/17 Tx switching between 2 bands can be combined to indicate UL capabilities on the 3/4 UL bands for Rel-18 UL Tx </w:t>
      </w:r>
      <w:proofErr w:type="gramStart"/>
      <w:r>
        <w:t>switching;</w:t>
      </w:r>
      <w:proofErr w:type="gramEnd"/>
    </w:p>
    <w:p w14:paraId="663584C0" w14:textId="74EB9AE0" w:rsidR="005A4FEF" w:rsidRDefault="005A4FEF" w:rsidP="0009550D">
      <w:pPr>
        <w:spacing w:beforeLines="50" w:before="120"/>
      </w:pPr>
      <w:r>
        <w:rPr>
          <w:rFonts w:hint="eastAsia"/>
        </w:rPr>
        <w:t>P</w:t>
      </w:r>
      <w:r>
        <w:t>lease note that opponent</w:t>
      </w:r>
      <w:r w:rsidR="0054499E">
        <w:t>s</w:t>
      </w:r>
      <w:r>
        <w:t xml:space="preserve"> may argue that it would lead to restriction of UE capability, e.g., </w:t>
      </w:r>
    </w:p>
    <w:p w14:paraId="6F23F16A" w14:textId="77777777" w:rsidR="005A4FEF" w:rsidRPr="005A4FEF" w:rsidRDefault="005A4FEF" w:rsidP="005A4FEF">
      <w:pPr>
        <w:pBdr>
          <w:top w:val="single" w:sz="4" w:space="1" w:color="auto"/>
          <w:left w:val="single" w:sz="4" w:space="4" w:color="auto"/>
          <w:bottom w:val="single" w:sz="4" w:space="1" w:color="auto"/>
          <w:right w:val="single" w:sz="4" w:space="4" w:color="auto"/>
        </w:pBdr>
        <w:spacing w:before="60" w:after="60"/>
        <w:jc w:val="left"/>
        <w:rPr>
          <w:rFonts w:ascii="Times New Roman" w:eastAsia="等线" w:hAnsi="Times New Roman"/>
          <w:i/>
          <w:iCs/>
          <w:sz w:val="21"/>
          <w:szCs w:val="18"/>
        </w:rPr>
      </w:pPr>
      <w:r w:rsidRPr="005A4FEF">
        <w:rPr>
          <w:rFonts w:ascii="Times New Roman" w:eastAsia="等线" w:hAnsi="Times New Roman"/>
          <w:i/>
          <w:iCs/>
          <w:sz w:val="21"/>
          <w:szCs w:val="18"/>
        </w:rPr>
        <w:t>In the example above, the band 2 can be paired with band 1 or band 3 and assuming:</w:t>
      </w:r>
    </w:p>
    <w:p w14:paraId="50F17362" w14:textId="77777777" w:rsidR="005A4FEF" w:rsidRPr="005A4FEF" w:rsidRDefault="005A4FEF" w:rsidP="005A4FEF">
      <w:pPr>
        <w:numPr>
          <w:ilvl w:val="0"/>
          <w:numId w:val="21"/>
        </w:numPr>
        <w:pBdr>
          <w:top w:val="single" w:sz="4" w:space="1" w:color="auto"/>
          <w:left w:val="single" w:sz="4" w:space="4" w:color="auto"/>
          <w:bottom w:val="single" w:sz="4" w:space="1" w:color="auto"/>
          <w:right w:val="single" w:sz="4" w:space="4" w:color="auto"/>
        </w:pBdr>
        <w:overflowPunct/>
        <w:autoSpaceDE/>
        <w:autoSpaceDN/>
        <w:adjustRightInd/>
        <w:spacing w:before="60" w:after="60"/>
        <w:jc w:val="left"/>
        <w:textAlignment w:val="auto"/>
        <w:rPr>
          <w:rFonts w:ascii="Times New Roman" w:eastAsia="等线" w:hAnsi="Times New Roman"/>
          <w:i/>
          <w:iCs/>
          <w:sz w:val="21"/>
          <w:szCs w:val="22"/>
          <w:lang w:eastAsia="x-none"/>
        </w:rPr>
      </w:pPr>
      <w:r w:rsidRPr="005A4FEF">
        <w:rPr>
          <w:rFonts w:ascii="Times New Roman" w:eastAsia="等线" w:hAnsi="Times New Roman"/>
          <w:i/>
          <w:iCs/>
          <w:sz w:val="21"/>
          <w:szCs w:val="22"/>
          <w:lang w:eastAsia="x-none"/>
        </w:rPr>
        <w:t xml:space="preserve">the carrier in band1 is </w:t>
      </w:r>
      <w:proofErr w:type="gramStart"/>
      <w:r w:rsidRPr="005A4FEF">
        <w:rPr>
          <w:rFonts w:ascii="Times New Roman" w:eastAsia="等线" w:hAnsi="Times New Roman"/>
          <w:i/>
          <w:iCs/>
          <w:sz w:val="21"/>
          <w:szCs w:val="22"/>
          <w:lang w:eastAsia="x-none"/>
        </w:rPr>
        <w:t>100MHz;</w:t>
      </w:r>
      <w:proofErr w:type="gramEnd"/>
    </w:p>
    <w:p w14:paraId="59E44473" w14:textId="77777777" w:rsidR="005A4FEF" w:rsidRPr="005A4FEF" w:rsidRDefault="005A4FEF" w:rsidP="005A4FEF">
      <w:pPr>
        <w:numPr>
          <w:ilvl w:val="0"/>
          <w:numId w:val="21"/>
        </w:numPr>
        <w:pBdr>
          <w:top w:val="single" w:sz="4" w:space="1" w:color="auto"/>
          <w:left w:val="single" w:sz="4" w:space="4" w:color="auto"/>
          <w:bottom w:val="single" w:sz="4" w:space="1" w:color="auto"/>
          <w:right w:val="single" w:sz="4" w:space="4" w:color="auto"/>
        </w:pBdr>
        <w:overflowPunct/>
        <w:autoSpaceDE/>
        <w:autoSpaceDN/>
        <w:adjustRightInd/>
        <w:spacing w:before="60" w:after="60"/>
        <w:jc w:val="left"/>
        <w:textAlignment w:val="auto"/>
        <w:rPr>
          <w:rFonts w:ascii="Times New Roman" w:eastAsia="等线" w:hAnsi="Times New Roman"/>
          <w:i/>
          <w:iCs/>
          <w:sz w:val="21"/>
          <w:szCs w:val="22"/>
          <w:lang w:eastAsia="x-none"/>
        </w:rPr>
      </w:pPr>
      <w:r w:rsidRPr="005A4FEF">
        <w:rPr>
          <w:rFonts w:ascii="Times New Roman" w:eastAsia="等线" w:hAnsi="Times New Roman"/>
          <w:i/>
          <w:iCs/>
          <w:sz w:val="21"/>
          <w:szCs w:val="22"/>
          <w:lang w:eastAsia="x-none"/>
        </w:rPr>
        <w:t xml:space="preserve">the carrier in band 3 is </w:t>
      </w:r>
      <w:proofErr w:type="gramStart"/>
      <w:r w:rsidRPr="005A4FEF">
        <w:rPr>
          <w:rFonts w:ascii="Times New Roman" w:eastAsia="等线" w:hAnsi="Times New Roman"/>
          <w:i/>
          <w:iCs/>
          <w:sz w:val="21"/>
          <w:szCs w:val="22"/>
          <w:lang w:eastAsia="x-none"/>
        </w:rPr>
        <w:t>50MHz;</w:t>
      </w:r>
      <w:proofErr w:type="gramEnd"/>
      <w:r w:rsidRPr="005A4FEF">
        <w:rPr>
          <w:rFonts w:ascii="Times New Roman" w:eastAsia="等线" w:hAnsi="Times New Roman"/>
          <w:i/>
          <w:iCs/>
          <w:sz w:val="21"/>
          <w:szCs w:val="22"/>
          <w:lang w:eastAsia="x-none"/>
        </w:rPr>
        <w:t xml:space="preserve"> </w:t>
      </w:r>
    </w:p>
    <w:p w14:paraId="2522E56B" w14:textId="77777777" w:rsidR="005A4FEF" w:rsidRPr="005A4FEF" w:rsidRDefault="005A4FEF" w:rsidP="005A4FEF">
      <w:pPr>
        <w:numPr>
          <w:ilvl w:val="0"/>
          <w:numId w:val="21"/>
        </w:numPr>
        <w:pBdr>
          <w:top w:val="single" w:sz="4" w:space="1" w:color="auto"/>
          <w:left w:val="single" w:sz="4" w:space="4" w:color="auto"/>
          <w:bottom w:val="single" w:sz="4" w:space="1" w:color="auto"/>
          <w:right w:val="single" w:sz="4" w:space="4" w:color="auto"/>
        </w:pBdr>
        <w:overflowPunct/>
        <w:autoSpaceDE/>
        <w:autoSpaceDN/>
        <w:adjustRightInd/>
        <w:spacing w:before="60" w:after="60"/>
        <w:jc w:val="left"/>
        <w:textAlignment w:val="auto"/>
        <w:rPr>
          <w:rFonts w:ascii="Times New Roman" w:eastAsia="等线" w:hAnsi="Times New Roman"/>
          <w:i/>
          <w:iCs/>
          <w:sz w:val="21"/>
          <w:szCs w:val="22"/>
          <w:lang w:eastAsia="x-none"/>
        </w:rPr>
      </w:pPr>
      <w:r w:rsidRPr="005A4FEF">
        <w:rPr>
          <w:rFonts w:ascii="Times New Roman" w:eastAsia="等线" w:hAnsi="Times New Roman"/>
          <w:i/>
          <w:iCs/>
          <w:sz w:val="21"/>
          <w:szCs w:val="22"/>
          <w:lang w:eastAsia="x-none"/>
        </w:rPr>
        <w:t xml:space="preserve">the UE can process 150MHz in </w:t>
      </w:r>
      <w:proofErr w:type="gramStart"/>
      <w:r w:rsidRPr="005A4FEF">
        <w:rPr>
          <w:rFonts w:ascii="Times New Roman" w:eastAsia="等线" w:hAnsi="Times New Roman"/>
          <w:i/>
          <w:iCs/>
          <w:sz w:val="21"/>
          <w:szCs w:val="22"/>
          <w:lang w:eastAsia="x-none"/>
        </w:rPr>
        <w:t>total;</w:t>
      </w:r>
      <w:proofErr w:type="gramEnd"/>
    </w:p>
    <w:p w14:paraId="46C7F417" w14:textId="77777777" w:rsidR="005A4FEF" w:rsidRPr="005A4FEF" w:rsidRDefault="005A4FEF" w:rsidP="005A4FEF">
      <w:pPr>
        <w:pBdr>
          <w:top w:val="single" w:sz="4" w:space="1" w:color="auto"/>
          <w:left w:val="single" w:sz="4" w:space="4" w:color="auto"/>
          <w:bottom w:val="single" w:sz="4" w:space="1" w:color="auto"/>
          <w:right w:val="single" w:sz="4" w:space="4" w:color="auto"/>
        </w:pBdr>
        <w:spacing w:before="60" w:after="60"/>
        <w:jc w:val="left"/>
        <w:rPr>
          <w:rFonts w:ascii="Times New Roman" w:eastAsia="等线" w:hAnsi="Times New Roman"/>
          <w:i/>
          <w:iCs/>
          <w:sz w:val="21"/>
          <w:szCs w:val="18"/>
        </w:rPr>
      </w:pPr>
      <w:r w:rsidRPr="005A4FEF">
        <w:rPr>
          <w:rFonts w:ascii="Times New Roman" w:eastAsia="等线" w:hAnsi="Times New Roman"/>
          <w:i/>
          <w:iCs/>
          <w:sz w:val="21"/>
          <w:szCs w:val="18"/>
        </w:rPr>
        <w:t xml:space="preserve">The carrier in band 2 can only be set to less than 50MHz considering it might be paired with band1 in dual UL transmission. However, when it paired with band 3, the actual capability for band 2 can be extended to 100MHz while it can’t be reported in this scheme. therefore, this report scheme would </w:t>
      </w:r>
      <w:bookmarkStart w:id="7" w:name="_Hlk118189643"/>
      <w:r w:rsidRPr="005A4FEF">
        <w:rPr>
          <w:rFonts w:ascii="Times New Roman" w:eastAsia="等线" w:hAnsi="Times New Roman"/>
          <w:i/>
          <w:iCs/>
          <w:sz w:val="21"/>
          <w:szCs w:val="18"/>
        </w:rPr>
        <w:t>restrict the report flexibility from UE side</w:t>
      </w:r>
      <w:bookmarkEnd w:id="7"/>
      <w:r w:rsidRPr="005A4FEF">
        <w:rPr>
          <w:rFonts w:ascii="Times New Roman" w:eastAsia="等线" w:hAnsi="Times New Roman"/>
          <w:i/>
          <w:iCs/>
          <w:sz w:val="21"/>
          <w:szCs w:val="18"/>
        </w:rPr>
        <w:t>.</w:t>
      </w:r>
    </w:p>
    <w:p w14:paraId="22981AC8" w14:textId="08B8F99D" w:rsidR="003A1B2A" w:rsidRDefault="003A1B2A" w:rsidP="0009550D">
      <w:pPr>
        <w:spacing w:beforeLines="50" w:before="120"/>
      </w:pPr>
      <w:r>
        <w:rPr>
          <w:rFonts w:hint="eastAsia"/>
        </w:rPr>
        <w:t>A</w:t>
      </w:r>
      <w:r>
        <w:t>nd thus argue this issue can be solved by always reporting 2-band FSC, so that network cannot misunderst</w:t>
      </w:r>
      <w:r w:rsidR="0054499E">
        <w:rPr>
          <w:rFonts w:hint="eastAsia"/>
        </w:rPr>
        <w:t>an</w:t>
      </w:r>
      <w:r>
        <w:t xml:space="preserve">d, but this would lead to unnecessary </w:t>
      </w:r>
      <w:proofErr w:type="spellStart"/>
      <w:r>
        <w:t>signaling</w:t>
      </w:r>
      <w:proofErr w:type="spellEnd"/>
      <w:r>
        <w:t xml:space="preserve"> overhead, comparing three 2-band FSC versus a single 3-band FSC. </w:t>
      </w:r>
    </w:p>
    <w:p w14:paraId="01A6B7D4" w14:textId="722C2519" w:rsidR="00A653B5" w:rsidRDefault="00A653B5" w:rsidP="0009550D">
      <w:pPr>
        <w:spacing w:beforeLines="50" w:before="120"/>
      </w:pPr>
      <w:r>
        <w:rPr>
          <w:rFonts w:hint="eastAsia"/>
        </w:rPr>
        <w:t>F</w:t>
      </w:r>
      <w:r>
        <w:t xml:space="preserve">irstly, this issue only comes from concurrent transmission, i.e., if we limit to </w:t>
      </w:r>
      <w:proofErr w:type="gramStart"/>
      <w:r>
        <w:t>switched-UL</w:t>
      </w:r>
      <w:proofErr w:type="gramEnd"/>
      <w:r>
        <w:t>, there is no dependency between the capability of each FS entry.</w:t>
      </w:r>
    </w:p>
    <w:p w14:paraId="70B8B0D9" w14:textId="1DC80268" w:rsidR="005A4FEF" w:rsidRDefault="00A653B5" w:rsidP="0009550D">
      <w:pPr>
        <w:spacing w:beforeLines="50" w:before="120"/>
      </w:pPr>
      <w:r>
        <w:t>Secondly, even for dual-UL</w:t>
      </w:r>
      <w:r w:rsidR="005A4FEF">
        <w:t>, this issue exists since R16, i.e., even for a 2-band FSC,</w:t>
      </w:r>
      <w:r w:rsidR="005A4FEF">
        <w:rPr>
          <w:rFonts w:hint="eastAsia"/>
        </w:rPr>
        <w:t xml:space="preserve"> </w:t>
      </w:r>
      <w:proofErr w:type="gramStart"/>
      <w:r w:rsidR="005A4FEF">
        <w:t>if</w:t>
      </w:r>
      <w:proofErr w:type="gramEnd"/>
    </w:p>
    <w:p w14:paraId="5E826EC9" w14:textId="7DF47033" w:rsidR="005A4FEF" w:rsidRDefault="005A4FEF" w:rsidP="00A71F55">
      <w:pPr>
        <w:pStyle w:val="af7"/>
        <w:numPr>
          <w:ilvl w:val="0"/>
          <w:numId w:val="22"/>
        </w:numPr>
        <w:spacing w:beforeLines="50" w:before="120"/>
        <w:ind w:left="357" w:hanging="357"/>
        <w:contextualSpacing w:val="0"/>
      </w:pPr>
      <w:r>
        <w:t xml:space="preserve">UE can support 150MHz on band-A alone, </w:t>
      </w:r>
      <w:r w:rsidR="00A71F55">
        <w:t xml:space="preserve">i.e., for 2T on band-A, </w:t>
      </w:r>
      <w:r>
        <w:t>or</w:t>
      </w:r>
    </w:p>
    <w:p w14:paraId="0305B853" w14:textId="2C96499F" w:rsidR="005A4FEF" w:rsidRDefault="005A4FEF" w:rsidP="00A71F55">
      <w:pPr>
        <w:pStyle w:val="af7"/>
        <w:numPr>
          <w:ilvl w:val="0"/>
          <w:numId w:val="22"/>
        </w:numPr>
        <w:spacing w:beforeLines="50" w:before="120"/>
        <w:ind w:left="357" w:hanging="357"/>
        <w:contextualSpacing w:val="0"/>
      </w:pPr>
      <w:r>
        <w:rPr>
          <w:rFonts w:hint="eastAsia"/>
        </w:rPr>
        <w:t>U</w:t>
      </w:r>
      <w:r>
        <w:t>E can support 50MHz on band-B and 100MHz on band-A</w:t>
      </w:r>
      <w:r w:rsidR="00A71F55">
        <w:t>, i.e., for 1T-1T on band-A/B</w:t>
      </w:r>
    </w:p>
    <w:p w14:paraId="50EE4A2C" w14:textId="49427063" w:rsidR="00A71F55" w:rsidRDefault="007D4A8F" w:rsidP="00A71F55">
      <w:pPr>
        <w:spacing w:beforeLines="50" w:before="120"/>
      </w:pPr>
      <w:r>
        <w:lastRenderedPageBreak/>
        <w:t>If we follow this logic, i</w:t>
      </w:r>
      <w:r w:rsidR="00A71F55">
        <w:t xml:space="preserve">t means </w:t>
      </w:r>
      <w:r w:rsidR="00D339E8">
        <w:t xml:space="preserve">even for 2-band Tx switching, </w:t>
      </w:r>
      <w:r w:rsidR="00A71F55">
        <w:t xml:space="preserve">UE </w:t>
      </w:r>
      <w:r w:rsidR="00D339E8">
        <w:t>should not</w:t>
      </w:r>
      <w:r w:rsidR="00A71F55">
        <w:t xml:space="preserve"> use a single 2-band FSC, with MIMO-layer = 1 on band-B and MIMO-layer = 2 on band-A for the 2-band Tx switching</w:t>
      </w:r>
      <w:r w:rsidR="003A1B2A">
        <w:t xml:space="preserve">, since that may lead to lower BW when UE is configured to transmit via 2T on band-A only. </w:t>
      </w:r>
      <w:r w:rsidR="0054499E">
        <w:t>A s</w:t>
      </w:r>
      <w:r w:rsidR="00A71F55">
        <w:t>imilar issue exist</w:t>
      </w:r>
      <w:r w:rsidR="0054499E">
        <w:t>s</w:t>
      </w:r>
      <w:r w:rsidR="00A71F55">
        <w:t xml:space="preserve"> for R17 2T-2T Tx switching. </w:t>
      </w:r>
    </w:p>
    <w:p w14:paraId="3F85BE9D" w14:textId="11AAB50F" w:rsidR="003A1B2A" w:rsidRDefault="003A1B2A" w:rsidP="00A71F55">
      <w:pPr>
        <w:spacing w:beforeLines="50" w:before="120"/>
      </w:pPr>
      <w:r>
        <w:rPr>
          <w:rFonts w:hint="eastAsia"/>
        </w:rPr>
        <w:t>B</w:t>
      </w:r>
      <w:r>
        <w:t>ut please note that we concluded previously for R16 Tx switching, at R2#111 that</w:t>
      </w:r>
    </w:p>
    <w:p w14:paraId="1CCB3363" w14:textId="77777777" w:rsidR="003A1B2A" w:rsidRPr="003C299D" w:rsidRDefault="003A1B2A" w:rsidP="003A1B2A">
      <w:pPr>
        <w:pStyle w:val="Agreement"/>
        <w:pBdr>
          <w:top w:val="single" w:sz="4" w:space="1" w:color="auto"/>
          <w:left w:val="single" w:sz="4" w:space="4" w:color="auto"/>
          <w:bottom w:val="single" w:sz="4" w:space="1" w:color="auto"/>
          <w:right w:val="single" w:sz="4" w:space="4" w:color="auto"/>
        </w:pBdr>
        <w:spacing w:before="120"/>
        <w:ind w:left="357" w:hanging="357"/>
      </w:pPr>
      <w:r w:rsidRPr="003C299D">
        <w:t>[019] Confirm that apart from the agreed 1T+2T UE capability there is no need to report 1T+1T UE capability in new BC list specific for inter-band CA/EN-DC option2.</w:t>
      </w:r>
    </w:p>
    <w:p w14:paraId="5DDBC4C6" w14:textId="3DE0B846" w:rsidR="0009550D" w:rsidRDefault="003A1B2A" w:rsidP="003A1B2A">
      <w:pPr>
        <w:spacing w:beforeLines="50" w:before="120"/>
      </w:pPr>
      <w:r>
        <w:t xml:space="preserve">So there seems no need to revisit this issue again. </w:t>
      </w:r>
    </w:p>
    <w:p w14:paraId="710A388F" w14:textId="31ED1943" w:rsidR="003A1B2A" w:rsidRDefault="003A1B2A" w:rsidP="003A1B2A">
      <w:pPr>
        <w:pStyle w:val="Observation"/>
        <w:numPr>
          <w:ilvl w:val="0"/>
          <w:numId w:val="23"/>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1701" w:hanging="1701"/>
        <w:textAlignment w:val="auto"/>
      </w:pPr>
      <w:r>
        <w:rPr>
          <w:rFonts w:hint="eastAsia"/>
        </w:rPr>
        <w:t>R</w:t>
      </w:r>
      <w:r>
        <w:t xml:space="preserve">2 concluded not to handle the capability difference between dual-UL and switched-UL, since R16 2-band Tx switching. </w:t>
      </w:r>
    </w:p>
    <w:p w14:paraId="4E9DEF45" w14:textId="4A92E93D" w:rsidR="0009550D" w:rsidRDefault="00DF4FA6" w:rsidP="007D4A8F">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8" w:name="_Toc131520580"/>
      <w:r>
        <w:t xml:space="preserve">For P1 from </w:t>
      </w:r>
      <w:r w:rsidRPr="00DF4FA6">
        <w:t>[Post121][045]</w:t>
      </w:r>
      <w:r>
        <w:t xml:space="preserve">, </w:t>
      </w:r>
      <w:r w:rsidR="00A653B5">
        <w:rPr>
          <w:rFonts w:hint="eastAsia"/>
        </w:rPr>
        <w:t>R</w:t>
      </w:r>
      <w:r w:rsidR="00A653B5">
        <w:t xml:space="preserve">2 </w:t>
      </w:r>
      <w:r>
        <w:t xml:space="preserve">adopt Approach-1, and clarify </w:t>
      </w:r>
      <w:r w:rsidR="007D4A8F">
        <w:t>UE is not required to but can report additional 2-band FSC entry (as in legacy if it is with higher capability than parent FSC entry).</w:t>
      </w:r>
      <w:bookmarkEnd w:id="8"/>
    </w:p>
    <w:p w14:paraId="5D47E9E5" w14:textId="09B004A8" w:rsidR="0009550D" w:rsidRDefault="00835C00" w:rsidP="0009550D">
      <w:pPr>
        <w:pStyle w:val="2"/>
      </w:pPr>
      <w:r>
        <w:t>Other issues</w:t>
      </w:r>
    </w:p>
    <w:p w14:paraId="3FDFF58B" w14:textId="400DF716" w:rsidR="003D48F6" w:rsidRDefault="003D48F6" w:rsidP="003D48F6">
      <w:r>
        <w:rPr>
          <w:rFonts w:hint="eastAsia"/>
        </w:rPr>
        <w:t>A</w:t>
      </w:r>
      <w:r>
        <w:t xml:space="preserve">t 120, it was agreed </w:t>
      </w:r>
      <w:proofErr w:type="gramStart"/>
      <w:r>
        <w:t>that</w:t>
      </w:r>
      <w:proofErr w:type="gramEnd"/>
    </w:p>
    <w:p w14:paraId="24DD9093" w14:textId="77777777" w:rsidR="003D48F6" w:rsidRDefault="003D48F6" w:rsidP="003D48F6">
      <w:pPr>
        <w:pStyle w:val="Agreement"/>
        <w:pBdr>
          <w:top w:val="single" w:sz="4" w:space="1" w:color="auto"/>
          <w:left w:val="single" w:sz="4" w:space="4" w:color="auto"/>
          <w:bottom w:val="single" w:sz="4" w:space="1" w:color="auto"/>
          <w:right w:val="single" w:sz="4" w:space="4" w:color="auto"/>
        </w:pBdr>
        <w:ind w:left="357" w:hanging="357"/>
        <w:rPr>
          <w:lang w:eastAsia="ja-JP"/>
        </w:rPr>
      </w:pPr>
      <w:r w:rsidRPr="0046428E">
        <w:rPr>
          <w:lang w:eastAsia="ja-JP"/>
        </w:rPr>
        <w:t xml:space="preserve">R2 </w:t>
      </w:r>
      <w:r>
        <w:rPr>
          <w:lang w:eastAsia="ja-JP"/>
        </w:rPr>
        <w:t>assumes to reuse the per band per BC capability</w:t>
      </w:r>
      <w:r w:rsidRPr="00B411C3">
        <w:rPr>
          <w:lang w:eastAsia="ja-JP"/>
        </w:rPr>
        <w:t xml:space="preserve">, </w:t>
      </w:r>
      <w:r w:rsidRPr="003D48F6">
        <w:rPr>
          <w:lang w:eastAsia="ja-JP"/>
        </w:rPr>
        <w:t>uplinkTxSwitching2T2T-PUSCH-TransCoherence-r17</w:t>
      </w:r>
      <w:r w:rsidRPr="00B411C3">
        <w:rPr>
          <w:lang w:eastAsia="ja-JP"/>
        </w:rPr>
        <w:t xml:space="preserve">, on UL-MIMO coherence for the 2Tx-capable UL band(s) for Rel-18 UL Tx switching </w:t>
      </w:r>
      <w:r w:rsidRPr="003D48F6">
        <w:rPr>
          <w:highlight w:val="yellow"/>
          <w:lang w:eastAsia="ja-JP"/>
        </w:rPr>
        <w:t>(fallback description FFS)</w:t>
      </w:r>
      <w:r w:rsidRPr="00B411C3">
        <w:rPr>
          <w:lang w:eastAsia="ja-JP"/>
        </w:rPr>
        <w:t>.</w:t>
      </w:r>
    </w:p>
    <w:p w14:paraId="72CCD4EA" w14:textId="1F3F15BE" w:rsidR="003D48F6" w:rsidRDefault="003D48F6" w:rsidP="003D48F6">
      <w:pPr>
        <w:spacing w:beforeLines="50" w:before="120"/>
      </w:pPr>
      <w:r>
        <w:t>F</w:t>
      </w:r>
      <w:r>
        <w:rPr>
          <w:rFonts w:hint="eastAsia"/>
        </w:rPr>
        <w:t>or</w:t>
      </w:r>
      <w:r>
        <w:t xml:space="preserve"> R18 Tx switching involving 2 bands, it is just legacy R16/17 Tx switching, so the delta part is on 3/4 band switching, for which it is assumed the legacy spec is sufficient to handle the fallback issue.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D48F6" w:rsidRPr="00B11372" w14:paraId="7B2CBD52" w14:textId="77777777" w:rsidTr="0009295A">
        <w:trPr>
          <w:cantSplit/>
          <w:tblHeader/>
        </w:trPr>
        <w:tc>
          <w:tcPr>
            <w:tcW w:w="6917" w:type="dxa"/>
          </w:tcPr>
          <w:p w14:paraId="200AD5C9" w14:textId="77777777" w:rsidR="003D48F6" w:rsidRPr="00B11372" w:rsidRDefault="003D48F6" w:rsidP="0009295A">
            <w:pPr>
              <w:pStyle w:val="TAL"/>
              <w:rPr>
                <w:b/>
                <w:bCs/>
                <w:i/>
                <w:iCs/>
              </w:rPr>
            </w:pPr>
            <w:r w:rsidRPr="00B11372">
              <w:rPr>
                <w:b/>
                <w:bCs/>
                <w:i/>
                <w:iCs/>
              </w:rPr>
              <w:t>UplinkTxSwitchingBandParameters-v1700</w:t>
            </w:r>
          </w:p>
          <w:p w14:paraId="5AB84866" w14:textId="77777777" w:rsidR="003D48F6" w:rsidRPr="00B11372" w:rsidRDefault="003D48F6" w:rsidP="0009295A">
            <w:pPr>
              <w:pStyle w:val="TAL"/>
            </w:pPr>
            <w:r w:rsidRPr="00B11372">
              <w:t>Contains the UL Tx switching specific band parameters for a given band combination.</w:t>
            </w:r>
          </w:p>
          <w:p w14:paraId="6ABE5CB9" w14:textId="77777777" w:rsidR="003D48F6" w:rsidRPr="00B11372" w:rsidRDefault="003D48F6" w:rsidP="0009295A">
            <w:pPr>
              <w:pStyle w:val="TAL"/>
              <w:rPr>
                <w:bCs/>
                <w:iCs/>
                <w:szCs w:val="18"/>
              </w:rPr>
            </w:pPr>
            <w:r w:rsidRPr="00B11372">
              <w:rPr>
                <w:lang w:eastAsia="fr-FR"/>
              </w:rPr>
              <w:t>The capability signalling comprises of the following parameters:</w:t>
            </w:r>
          </w:p>
          <w:p w14:paraId="23F82616" w14:textId="77777777" w:rsidR="003D48F6" w:rsidRPr="00B11372" w:rsidRDefault="003D48F6" w:rsidP="0009295A">
            <w:pPr>
              <w:pStyle w:val="TAL"/>
              <w:ind w:left="318" w:hanging="318"/>
              <w:rPr>
                <w:lang w:eastAsia="fr-FR"/>
              </w:rPr>
            </w:pPr>
            <w:r w:rsidRPr="00B11372">
              <w:rPr>
                <w:lang w:eastAsia="fr-FR"/>
              </w:rPr>
              <w:t>-</w:t>
            </w:r>
            <w:r w:rsidRPr="00B11372">
              <w:rPr>
                <w:lang w:eastAsia="fr-FR"/>
              </w:rPr>
              <w:tab/>
            </w:r>
            <w:r w:rsidRPr="00B11372">
              <w:rPr>
                <w:i/>
                <w:lang w:eastAsia="fr-FR"/>
              </w:rPr>
              <w:t>bandIndex-r17</w:t>
            </w:r>
            <w:r w:rsidRPr="00B11372">
              <w:rPr>
                <w:lang w:eastAsia="fr-FR"/>
              </w:rPr>
              <w:t xml:space="preserve"> indicates a band on which UE supports dynamic UL Tx switching with another band in the band combination. </w:t>
            </w:r>
            <w:proofErr w:type="spellStart"/>
            <w:r w:rsidRPr="00B11372">
              <w:rPr>
                <w:i/>
                <w:lang w:eastAsia="fr-FR"/>
              </w:rPr>
              <w:t>bandIndex</w:t>
            </w:r>
            <w:proofErr w:type="spellEnd"/>
            <w:r w:rsidRPr="00B11372">
              <w:rPr>
                <w:lang w:eastAsia="fr-FR"/>
              </w:rPr>
              <w:t xml:space="preserve"> xx refers to the </w:t>
            </w:r>
            <w:proofErr w:type="spellStart"/>
            <w:r w:rsidRPr="00B11372">
              <w:rPr>
                <w:lang w:eastAsia="fr-FR"/>
              </w:rPr>
              <w:t>xxth</w:t>
            </w:r>
            <w:proofErr w:type="spellEnd"/>
            <w:r w:rsidRPr="00B11372">
              <w:rPr>
                <w:lang w:eastAsia="fr-FR"/>
              </w:rPr>
              <w:t xml:space="preserve"> band entry in the band combination.</w:t>
            </w:r>
          </w:p>
          <w:p w14:paraId="01D9DDA8" w14:textId="77777777" w:rsidR="003D48F6" w:rsidRPr="00B11372" w:rsidRDefault="003D48F6" w:rsidP="0009295A">
            <w:pPr>
              <w:pStyle w:val="TAL"/>
              <w:ind w:left="318" w:hanging="318"/>
              <w:rPr>
                <w:b/>
                <w:bCs/>
                <w:i/>
                <w:iCs/>
              </w:rPr>
            </w:pPr>
            <w:r w:rsidRPr="00B11372">
              <w:rPr>
                <w:rFonts w:cs="Arial"/>
                <w:szCs w:val="18"/>
                <w:lang w:eastAsia="fr-FR"/>
              </w:rPr>
              <w:t>-</w:t>
            </w:r>
            <w:r w:rsidRPr="00B11372">
              <w:rPr>
                <w:rFonts w:cs="Arial"/>
                <w:szCs w:val="18"/>
                <w:lang w:eastAsia="fr-FR"/>
              </w:rPr>
              <w:tab/>
            </w:r>
            <w:r w:rsidRPr="00B11372">
              <w:rPr>
                <w:rFonts w:cs="Arial"/>
                <w:i/>
                <w:szCs w:val="18"/>
                <w:lang w:eastAsia="fr-FR"/>
              </w:rPr>
              <w:t>uplinkTxSwitching2T2T-PUSCH-TransCoherence-r17</w:t>
            </w:r>
            <w:r w:rsidRPr="00B11372">
              <w:rPr>
                <w:rFonts w:cs="Arial"/>
                <w:szCs w:val="18"/>
                <w:lang w:eastAsia="fr-FR"/>
              </w:rPr>
              <w:t xml:space="preserve"> indicates support of </w:t>
            </w:r>
            <w:r w:rsidRPr="00B11372">
              <w:rPr>
                <w:rFonts w:cs="Arial"/>
                <w:bCs/>
                <w:iCs/>
                <w:szCs w:val="18"/>
              </w:rPr>
              <w:t xml:space="preserve">the uplink codebook subset for the carrier(s) on a band capable of two antenna connectors </w:t>
            </w:r>
            <w:r w:rsidRPr="00B11372">
              <w:rPr>
                <w:rFonts w:cs="Arial"/>
                <w:szCs w:val="18"/>
                <w:lang w:eastAsia="fr-FR"/>
              </w:rPr>
              <w:t xml:space="preserve">on which UE supports dynamic UL 2Tx-2Tx switching with another band in the band combination. </w:t>
            </w:r>
            <w:r w:rsidRPr="00B11372">
              <w:rPr>
                <w:rFonts w:cs="Arial"/>
                <w:bCs/>
                <w:iCs/>
                <w:szCs w:val="18"/>
              </w:rPr>
              <w:t xml:space="preserve">UE indicating support of full coherent codebook subset shall also support non-coherent codebook subset. </w:t>
            </w:r>
            <w:r w:rsidRPr="003D48F6">
              <w:rPr>
                <w:rFonts w:cs="Arial"/>
                <w:bCs/>
                <w:iCs/>
                <w:szCs w:val="18"/>
                <w:highlight w:val="yellow"/>
              </w:rPr>
              <w:t>If this field is absent, the per BC UE capability reported in</w:t>
            </w:r>
            <w:r w:rsidRPr="003D48F6">
              <w:rPr>
                <w:highlight w:val="yellow"/>
              </w:rPr>
              <w:t xml:space="preserve"> </w:t>
            </w:r>
            <w:r w:rsidRPr="003D48F6">
              <w:rPr>
                <w:rFonts w:cs="Arial"/>
                <w:bCs/>
                <w:i/>
                <w:iCs/>
                <w:szCs w:val="18"/>
                <w:highlight w:val="yellow"/>
              </w:rPr>
              <w:t>uplinkTxSwitching-PUSCH-TransCoherence-r16</w:t>
            </w:r>
            <w:r w:rsidRPr="003D48F6">
              <w:rPr>
                <w:rFonts w:cs="Arial"/>
                <w:bCs/>
                <w:iCs/>
                <w:szCs w:val="18"/>
                <w:highlight w:val="yellow"/>
              </w:rPr>
              <w:t xml:space="preserve"> is applied, and if this field and </w:t>
            </w:r>
            <w:r w:rsidRPr="003D48F6">
              <w:rPr>
                <w:rFonts w:cs="Arial"/>
                <w:bCs/>
                <w:i/>
                <w:iCs/>
                <w:szCs w:val="18"/>
                <w:highlight w:val="yellow"/>
              </w:rPr>
              <w:t>uplinkTxSwitching-PUSCH-TransCoherence-r16</w:t>
            </w:r>
            <w:r w:rsidRPr="003D48F6">
              <w:rPr>
                <w:rFonts w:cs="Arial"/>
                <w:bCs/>
                <w:iCs/>
                <w:szCs w:val="18"/>
                <w:highlight w:val="yellow"/>
              </w:rPr>
              <w:t xml:space="preserve"> are both absent, the UE capability reported in </w:t>
            </w:r>
            <w:proofErr w:type="spellStart"/>
            <w:r w:rsidRPr="003D48F6">
              <w:rPr>
                <w:rFonts w:cs="Arial"/>
                <w:bCs/>
                <w:i/>
                <w:iCs/>
                <w:szCs w:val="18"/>
                <w:highlight w:val="yellow"/>
              </w:rPr>
              <w:t>pusch-TransCoherence</w:t>
            </w:r>
            <w:proofErr w:type="spellEnd"/>
            <w:r w:rsidRPr="003D48F6">
              <w:rPr>
                <w:rFonts w:cs="Arial"/>
                <w:bCs/>
                <w:iCs/>
                <w:szCs w:val="18"/>
                <w:highlight w:val="yellow"/>
              </w:rPr>
              <w:t xml:space="preserve"> is applied when uplink Tx switching is triggered between last transmitted SRS and scheduled PUSCH transmission, as specified in TS 38.101-1 [2].</w:t>
            </w:r>
          </w:p>
        </w:tc>
        <w:tc>
          <w:tcPr>
            <w:tcW w:w="709" w:type="dxa"/>
          </w:tcPr>
          <w:p w14:paraId="1E192A55" w14:textId="77777777" w:rsidR="003D48F6" w:rsidRPr="00B11372" w:rsidRDefault="003D48F6" w:rsidP="0009295A">
            <w:pPr>
              <w:pStyle w:val="TAL"/>
              <w:jc w:val="center"/>
              <w:rPr>
                <w:bCs/>
                <w:iCs/>
                <w:lang w:eastAsia="zh-CN"/>
              </w:rPr>
            </w:pPr>
            <w:r w:rsidRPr="00B11372">
              <w:rPr>
                <w:bCs/>
                <w:iCs/>
                <w:lang w:eastAsia="zh-CN"/>
              </w:rPr>
              <w:t>BC</w:t>
            </w:r>
          </w:p>
        </w:tc>
        <w:tc>
          <w:tcPr>
            <w:tcW w:w="567" w:type="dxa"/>
          </w:tcPr>
          <w:p w14:paraId="4679D07A" w14:textId="77777777" w:rsidR="003D48F6" w:rsidRPr="00B11372" w:rsidRDefault="003D48F6" w:rsidP="0009295A">
            <w:pPr>
              <w:pStyle w:val="TAL"/>
              <w:jc w:val="center"/>
              <w:rPr>
                <w:bCs/>
                <w:iCs/>
                <w:lang w:eastAsia="zh-CN"/>
              </w:rPr>
            </w:pPr>
            <w:r w:rsidRPr="00B11372">
              <w:rPr>
                <w:bCs/>
                <w:iCs/>
                <w:lang w:eastAsia="zh-CN"/>
              </w:rPr>
              <w:t>No</w:t>
            </w:r>
          </w:p>
        </w:tc>
        <w:tc>
          <w:tcPr>
            <w:tcW w:w="709" w:type="dxa"/>
          </w:tcPr>
          <w:p w14:paraId="4A3FC1BE" w14:textId="77777777" w:rsidR="003D48F6" w:rsidRPr="00B11372" w:rsidRDefault="003D48F6" w:rsidP="0009295A">
            <w:pPr>
              <w:pStyle w:val="TAL"/>
              <w:jc w:val="center"/>
              <w:rPr>
                <w:rFonts w:eastAsia="等线"/>
              </w:rPr>
            </w:pPr>
            <w:r w:rsidRPr="00B11372">
              <w:rPr>
                <w:rFonts w:eastAsia="等线"/>
              </w:rPr>
              <w:t>N/A</w:t>
            </w:r>
          </w:p>
        </w:tc>
        <w:tc>
          <w:tcPr>
            <w:tcW w:w="728" w:type="dxa"/>
          </w:tcPr>
          <w:p w14:paraId="0AF885AC" w14:textId="77777777" w:rsidR="003D48F6" w:rsidRPr="00B11372" w:rsidRDefault="003D48F6" w:rsidP="0009295A">
            <w:pPr>
              <w:pStyle w:val="TAL"/>
              <w:jc w:val="center"/>
              <w:rPr>
                <w:lang w:eastAsia="zh-CN"/>
              </w:rPr>
            </w:pPr>
            <w:r w:rsidRPr="00B11372">
              <w:rPr>
                <w:lang w:eastAsia="zh-CN"/>
              </w:rPr>
              <w:t>FR1 only</w:t>
            </w:r>
          </w:p>
        </w:tc>
      </w:tr>
      <w:tr w:rsidR="003D48F6" w:rsidRPr="00B11372" w14:paraId="67C93A54" w14:textId="77777777" w:rsidTr="0009295A">
        <w:trPr>
          <w:cantSplit/>
          <w:tblHeader/>
        </w:trPr>
        <w:tc>
          <w:tcPr>
            <w:tcW w:w="6917" w:type="dxa"/>
          </w:tcPr>
          <w:p w14:paraId="7E67E893" w14:textId="77777777" w:rsidR="003D48F6" w:rsidRPr="00B11372" w:rsidRDefault="003D48F6" w:rsidP="0009295A">
            <w:pPr>
              <w:pStyle w:val="TAL"/>
              <w:rPr>
                <w:b/>
                <w:bCs/>
                <w:i/>
                <w:iCs/>
                <w:lang w:eastAsia="fr-FR"/>
              </w:rPr>
            </w:pPr>
            <w:r w:rsidRPr="00B11372">
              <w:rPr>
                <w:b/>
                <w:bCs/>
                <w:i/>
                <w:iCs/>
                <w:lang w:eastAsia="fr-FR"/>
              </w:rPr>
              <w:t>uplinkTxSwitching-PUSCH-TransCoherence-r16</w:t>
            </w:r>
          </w:p>
          <w:p w14:paraId="73523DEB" w14:textId="77777777" w:rsidR="003D48F6" w:rsidRPr="00B11372" w:rsidRDefault="003D48F6" w:rsidP="0009295A">
            <w:pPr>
              <w:pStyle w:val="TAL"/>
              <w:rPr>
                <w:bCs/>
                <w:iCs/>
              </w:rPr>
            </w:pPr>
            <w:r w:rsidRPr="00B11372">
              <w:rPr>
                <w:bCs/>
                <w:iCs/>
              </w:rPr>
              <w:t>Indicates support of the uplink codebook subset when uplink 1Tx</w:t>
            </w:r>
            <w:r w:rsidRPr="00B11372">
              <w:t>-2Tx</w:t>
            </w:r>
            <w:r w:rsidRPr="00B11372">
              <w:rPr>
                <w:bCs/>
                <w:iCs/>
              </w:rPr>
              <w:t xml:space="preserve"> switching is triggered between last transmitted SRS and scheduled PUSCH transmission, as specified in TS 38.101-1 [2].</w:t>
            </w:r>
          </w:p>
          <w:p w14:paraId="351E5D94" w14:textId="77777777" w:rsidR="003D48F6" w:rsidRPr="00B11372" w:rsidRDefault="003D48F6" w:rsidP="0009295A">
            <w:pPr>
              <w:pStyle w:val="TAL"/>
              <w:rPr>
                <w:bCs/>
                <w:iCs/>
              </w:rPr>
            </w:pPr>
            <w:r w:rsidRPr="00B11372">
              <w:rPr>
                <w:bCs/>
                <w:iCs/>
              </w:rPr>
              <w:t>UE indicating support of full coherent codebook subset shall also support non-coherent codebook subset.</w:t>
            </w:r>
          </w:p>
          <w:p w14:paraId="68F8BE52" w14:textId="77777777" w:rsidR="003D48F6" w:rsidRPr="00B11372" w:rsidRDefault="003D48F6" w:rsidP="0009295A">
            <w:pPr>
              <w:pStyle w:val="TAL"/>
              <w:rPr>
                <w:bCs/>
                <w:iCs/>
              </w:rPr>
            </w:pPr>
            <w:r w:rsidRPr="003D48F6">
              <w:rPr>
                <w:bCs/>
                <w:iCs/>
                <w:highlight w:val="yellow"/>
              </w:rPr>
              <w:t xml:space="preserve">If the field is absent, the supported uplink codebook subset indicated by </w:t>
            </w:r>
            <w:proofErr w:type="spellStart"/>
            <w:r w:rsidRPr="003D48F6">
              <w:rPr>
                <w:bCs/>
                <w:i/>
                <w:highlight w:val="yellow"/>
              </w:rPr>
              <w:t>pusch-TransCoherence</w:t>
            </w:r>
            <w:proofErr w:type="spellEnd"/>
            <w:r w:rsidRPr="003D48F6">
              <w:rPr>
                <w:bCs/>
                <w:iCs/>
                <w:highlight w:val="yellow"/>
              </w:rPr>
              <w:t xml:space="preserve"> applies</w:t>
            </w:r>
            <w:r w:rsidRPr="00B11372">
              <w:rPr>
                <w:bCs/>
                <w:iCs/>
              </w:rPr>
              <w:t xml:space="preserve"> when the uplink switching is triggered between last transmitted SRS and scheduled transmission.</w:t>
            </w:r>
          </w:p>
        </w:tc>
        <w:tc>
          <w:tcPr>
            <w:tcW w:w="709" w:type="dxa"/>
          </w:tcPr>
          <w:p w14:paraId="29AA3B8A" w14:textId="77777777" w:rsidR="003D48F6" w:rsidRPr="00B11372" w:rsidRDefault="003D48F6" w:rsidP="0009295A">
            <w:pPr>
              <w:pStyle w:val="TAL"/>
              <w:jc w:val="center"/>
              <w:rPr>
                <w:bCs/>
                <w:iCs/>
                <w:lang w:eastAsia="zh-CN"/>
              </w:rPr>
            </w:pPr>
            <w:r w:rsidRPr="00B11372">
              <w:rPr>
                <w:lang w:eastAsia="fr-FR"/>
              </w:rPr>
              <w:t>BC</w:t>
            </w:r>
          </w:p>
        </w:tc>
        <w:tc>
          <w:tcPr>
            <w:tcW w:w="567" w:type="dxa"/>
          </w:tcPr>
          <w:p w14:paraId="02BAD841" w14:textId="77777777" w:rsidR="003D48F6" w:rsidRPr="00B11372" w:rsidRDefault="003D48F6" w:rsidP="0009295A">
            <w:pPr>
              <w:pStyle w:val="TAL"/>
              <w:jc w:val="center"/>
              <w:rPr>
                <w:bCs/>
                <w:iCs/>
                <w:lang w:eastAsia="zh-CN"/>
              </w:rPr>
            </w:pPr>
            <w:r w:rsidRPr="00B11372">
              <w:rPr>
                <w:bCs/>
                <w:iCs/>
              </w:rPr>
              <w:t>No</w:t>
            </w:r>
          </w:p>
        </w:tc>
        <w:tc>
          <w:tcPr>
            <w:tcW w:w="709" w:type="dxa"/>
          </w:tcPr>
          <w:p w14:paraId="5506F527" w14:textId="77777777" w:rsidR="003D48F6" w:rsidRPr="00B11372" w:rsidRDefault="003D48F6" w:rsidP="0009295A">
            <w:pPr>
              <w:pStyle w:val="TAL"/>
              <w:jc w:val="center"/>
              <w:rPr>
                <w:rFonts w:eastAsia="等线"/>
              </w:rPr>
            </w:pPr>
            <w:r w:rsidRPr="00B11372">
              <w:rPr>
                <w:bCs/>
                <w:iCs/>
              </w:rPr>
              <w:t>N/A</w:t>
            </w:r>
          </w:p>
        </w:tc>
        <w:tc>
          <w:tcPr>
            <w:tcW w:w="728" w:type="dxa"/>
          </w:tcPr>
          <w:p w14:paraId="06F7B436" w14:textId="77777777" w:rsidR="003D48F6" w:rsidRPr="00B11372" w:rsidRDefault="003D48F6" w:rsidP="0009295A">
            <w:pPr>
              <w:pStyle w:val="TAL"/>
              <w:jc w:val="center"/>
              <w:rPr>
                <w:lang w:eastAsia="zh-CN"/>
              </w:rPr>
            </w:pPr>
            <w:r w:rsidRPr="00B11372">
              <w:rPr>
                <w:lang w:eastAsia="zh-CN"/>
              </w:rPr>
              <w:t>FR1 only</w:t>
            </w:r>
          </w:p>
        </w:tc>
      </w:tr>
    </w:tbl>
    <w:p w14:paraId="3ED92555" w14:textId="587AE36B" w:rsidR="003D48F6" w:rsidRPr="009161D1" w:rsidRDefault="003D48F6" w:rsidP="003D48F6">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9" w:name="_Toc131520581"/>
      <w:r w:rsidRPr="003D48F6">
        <w:rPr>
          <w:rFonts w:hint="eastAsia"/>
        </w:rPr>
        <w:t>F</w:t>
      </w:r>
      <w:r w:rsidRPr="003D48F6">
        <w:t>or R18 Tx switching involving 3/4 band, i</w:t>
      </w:r>
      <w:r w:rsidRPr="003D48F6">
        <w:rPr>
          <w:rFonts w:cs="Arial"/>
          <w:iCs/>
          <w:szCs w:val="18"/>
        </w:rPr>
        <w:t xml:space="preserve">f </w:t>
      </w:r>
      <w:r w:rsidRPr="003D48F6">
        <w:rPr>
          <w:i/>
          <w:iCs/>
          <w:lang w:eastAsia="ja-JP"/>
        </w:rPr>
        <w:t>uplinkTxSwitching2T2T-PUSCH-TransCoherence-r17</w:t>
      </w:r>
      <w:r w:rsidRPr="003D48F6">
        <w:rPr>
          <w:rFonts w:cs="Arial"/>
          <w:iCs/>
          <w:szCs w:val="18"/>
        </w:rPr>
        <w:t xml:space="preserve"> is absent, the per BC UE capability reported in</w:t>
      </w:r>
      <w:r w:rsidRPr="003D48F6">
        <w:t xml:space="preserve"> </w:t>
      </w:r>
      <w:r w:rsidRPr="003D48F6">
        <w:rPr>
          <w:rFonts w:cs="Arial"/>
          <w:i/>
          <w:iCs/>
          <w:szCs w:val="18"/>
        </w:rPr>
        <w:t>uplinkTxSwitching-PUSCH-TransCoherence-r16</w:t>
      </w:r>
      <w:r w:rsidRPr="003D48F6">
        <w:rPr>
          <w:rFonts w:cs="Arial"/>
          <w:iCs/>
          <w:szCs w:val="18"/>
        </w:rPr>
        <w:t xml:space="preserve"> is applied, and if this field and </w:t>
      </w:r>
      <w:r w:rsidRPr="003D48F6">
        <w:rPr>
          <w:rFonts w:cs="Arial"/>
          <w:i/>
          <w:iCs/>
          <w:szCs w:val="18"/>
        </w:rPr>
        <w:t>uplinkTxSwitching-PUSCH-TransCoherence-r16</w:t>
      </w:r>
      <w:r w:rsidRPr="003D48F6">
        <w:rPr>
          <w:rFonts w:cs="Arial"/>
          <w:iCs/>
          <w:szCs w:val="18"/>
        </w:rPr>
        <w:t xml:space="preserve"> are both absent, the UE capability reported in </w:t>
      </w:r>
      <w:proofErr w:type="spellStart"/>
      <w:r w:rsidRPr="003D48F6">
        <w:rPr>
          <w:rFonts w:cs="Arial"/>
          <w:i/>
          <w:iCs/>
          <w:szCs w:val="18"/>
        </w:rPr>
        <w:t>pusch-TransCoherence</w:t>
      </w:r>
      <w:proofErr w:type="spellEnd"/>
      <w:r w:rsidRPr="003D48F6">
        <w:rPr>
          <w:rFonts w:cs="Arial"/>
          <w:iCs/>
          <w:szCs w:val="18"/>
        </w:rPr>
        <w:t xml:space="preserve"> is applied</w:t>
      </w:r>
      <w:r w:rsidRPr="003D48F6">
        <w:rPr>
          <w:rFonts w:cs="Arial"/>
          <w:bCs w:val="0"/>
          <w:iCs/>
          <w:szCs w:val="18"/>
        </w:rPr>
        <w:t>.</w:t>
      </w:r>
      <w:bookmarkEnd w:id="9"/>
    </w:p>
    <w:p w14:paraId="5E7B3BDE" w14:textId="52D46357" w:rsidR="009161D1" w:rsidRDefault="00B173C4" w:rsidP="009161D1">
      <w:r>
        <w:t>Although R1 reached the following WA</w:t>
      </w:r>
    </w:p>
    <w:p w14:paraId="0A4388E8" w14:textId="77777777" w:rsidR="00F83453" w:rsidRPr="00F83453" w:rsidRDefault="00F83453" w:rsidP="00125CD6">
      <w:p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left"/>
        <w:textAlignment w:val="auto"/>
        <w:rPr>
          <w:rFonts w:ascii="Times" w:eastAsia="Batang" w:hAnsi="Times"/>
          <w:highlight w:val="green"/>
          <w:lang w:eastAsia="x-none"/>
        </w:rPr>
      </w:pPr>
      <w:r w:rsidRPr="00F83453">
        <w:rPr>
          <w:rFonts w:ascii="Times" w:eastAsia="Batang" w:hAnsi="Times"/>
          <w:highlight w:val="green"/>
          <w:lang w:eastAsia="x-none"/>
        </w:rPr>
        <w:t>Agreement</w:t>
      </w:r>
    </w:p>
    <w:p w14:paraId="5BE7EE11" w14:textId="77777777" w:rsidR="00F83453" w:rsidRPr="00F83453" w:rsidRDefault="00F83453" w:rsidP="00125CD6">
      <w:p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textAlignment w:val="auto"/>
        <w:rPr>
          <w:rFonts w:ascii="Times" w:eastAsia="MS Mincho" w:hAnsi="Times" w:cs="Times"/>
          <w:lang w:eastAsia="en-US"/>
        </w:rPr>
      </w:pPr>
      <w:r w:rsidRPr="00F83453">
        <w:rPr>
          <w:rFonts w:ascii="Times" w:eastAsia="MS Mincho" w:hAnsi="Times" w:cs="Times"/>
          <w:lang w:eastAsia="en-US"/>
        </w:rPr>
        <w:lastRenderedPageBreak/>
        <w:t xml:space="preserve">Confirm the working assumption with following </w:t>
      </w:r>
      <w:proofErr w:type="gramStart"/>
      <w:r w:rsidRPr="00F83453">
        <w:rPr>
          <w:rFonts w:ascii="Times" w:eastAsia="MS Mincho" w:hAnsi="Times" w:cs="Times"/>
          <w:lang w:eastAsia="en-US"/>
        </w:rPr>
        <w:t>updates</w:t>
      </w:r>
      <w:proofErr w:type="gramEnd"/>
    </w:p>
    <w:p w14:paraId="6BA4EE72" w14:textId="742D73C0" w:rsidR="00F83453" w:rsidRPr="00F83453" w:rsidRDefault="00F83453" w:rsidP="00125CD6">
      <w:p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textAlignment w:val="auto"/>
        <w:rPr>
          <w:rFonts w:ascii="Times" w:eastAsia="MS Mincho" w:hAnsi="Times" w:cs="Times"/>
          <w:lang w:val="en-AU" w:eastAsia="ko-KR"/>
        </w:rPr>
      </w:pPr>
      <w:r w:rsidRPr="00F83453">
        <w:rPr>
          <w:rFonts w:ascii="Times" w:eastAsia="MS Mincho" w:hAnsi="Times" w:cs="Times"/>
          <w:highlight w:val="darkYellow"/>
          <w:lang w:val="en-AU" w:eastAsia="ko-KR"/>
        </w:rPr>
        <w:t>(working assumption)</w:t>
      </w:r>
      <w:r w:rsidRPr="00F83453">
        <w:rPr>
          <w:rFonts w:ascii="Times" w:eastAsia="MS Mincho" w:hAnsi="Times" w:cs="Times"/>
          <w:lang w:val="en-AU" w:eastAsia="ko-KR"/>
        </w:rPr>
        <w:t xml:space="preserve"> If two uplink switching are triggered and UL transmissions involved in the two uplink switching are on more than 2 bands within any two consecutive reference slots, then the time duration between the start of </w:t>
      </w:r>
      <w:r w:rsidRPr="00F83453">
        <w:rPr>
          <w:rFonts w:ascii="Times" w:eastAsia="MS Gothic" w:hAnsi="Times" w:cs="Times"/>
          <w:lang w:val="en-US" w:eastAsia="ko-KR"/>
        </w:rPr>
        <w:t xml:space="preserve">all </w:t>
      </w:r>
      <w:r w:rsidRPr="00F83453">
        <w:rPr>
          <w:rFonts w:ascii="Times" w:eastAsia="MS Mincho" w:hAnsi="Times" w:cs="Times"/>
          <w:lang w:val="en-AU" w:eastAsia="ko-KR"/>
        </w:rPr>
        <w:t>transmission</w:t>
      </w:r>
      <w:r w:rsidRPr="00F83453">
        <w:rPr>
          <w:rFonts w:ascii="Times" w:eastAsia="MS Gothic" w:hAnsi="Times" w:cs="Times"/>
          <w:lang w:val="en-US" w:eastAsia="ko-KR"/>
        </w:rPr>
        <w:t>(s) after the first uplink switching</w:t>
      </w:r>
      <w:r w:rsidRPr="00F83453">
        <w:rPr>
          <w:rFonts w:ascii="Times" w:eastAsia="MS Mincho" w:hAnsi="Times" w:cs="Times"/>
          <w:lang w:val="en-AU" w:eastAsia="ko-KR"/>
        </w:rPr>
        <w:t xml:space="preserve"> and the start of </w:t>
      </w:r>
      <w:r w:rsidRPr="00F83453">
        <w:rPr>
          <w:rFonts w:ascii="Times" w:eastAsia="MS Gothic" w:hAnsi="Times" w:cs="Times"/>
          <w:lang w:val="en-US" w:eastAsia="ko-KR"/>
        </w:rPr>
        <w:t>all</w:t>
      </w:r>
      <w:r w:rsidRPr="00F83453">
        <w:rPr>
          <w:rFonts w:ascii="Times" w:eastAsia="MS Mincho" w:hAnsi="Times" w:cs="Times"/>
          <w:lang w:val="en-AU" w:eastAsia="ko-KR"/>
        </w:rPr>
        <w:t xml:space="preserve"> transmission</w:t>
      </w:r>
      <w:r w:rsidRPr="00F83453">
        <w:rPr>
          <w:rFonts w:ascii="Times" w:eastAsia="MS Gothic" w:hAnsi="Times" w:cs="Times"/>
          <w:lang w:val="en-US" w:eastAsia="ko-KR"/>
        </w:rPr>
        <w:t>(s) after the second uplink switching</w:t>
      </w:r>
      <w:r w:rsidRPr="00F83453">
        <w:rPr>
          <w:rFonts w:ascii="Times" w:eastAsia="MS Mincho" w:hAnsi="Times" w:cs="Times"/>
          <w:lang w:val="en-AU" w:eastAsia="ko-KR"/>
        </w:rPr>
        <w:t xml:space="preserve"> within the two reference slots is expected to be not less than a minimum separation time </w:t>
      </w:r>
    </w:p>
    <w:p w14:paraId="315C7750" w14:textId="0EBE73C8" w:rsidR="00F83453" w:rsidRPr="00F83453" w:rsidRDefault="00F83453" w:rsidP="00125CD6">
      <w:pPr>
        <w:numPr>
          <w:ilvl w:val="0"/>
          <w:numId w:val="25"/>
        </w:numPr>
        <w:pBdr>
          <w:top w:val="single" w:sz="4" w:space="1" w:color="auto"/>
          <w:left w:val="single" w:sz="4" w:space="4" w:color="auto"/>
          <w:bottom w:val="single" w:sz="4" w:space="1" w:color="auto"/>
          <w:right w:val="single" w:sz="4" w:space="4" w:color="auto"/>
        </w:pBdr>
        <w:overflowPunct/>
        <w:autoSpaceDE/>
        <w:autoSpaceDN/>
        <w:adjustRightInd/>
        <w:spacing w:after="180"/>
        <w:ind w:left="400" w:hangingChars="200" w:hanging="400"/>
        <w:contextualSpacing/>
        <w:jc w:val="left"/>
        <w:textAlignment w:val="auto"/>
        <w:rPr>
          <w:rFonts w:ascii="Times New Roman" w:hAnsi="Times New Roman"/>
          <w:lang w:val="en-AU" w:eastAsia="ko-KR"/>
        </w:rPr>
      </w:pPr>
      <w:r w:rsidRPr="00F83453">
        <w:rPr>
          <w:rFonts w:ascii="Times New Roman" w:hAnsi="Times New Roman"/>
          <w:lang w:val="en-AU" w:eastAsia="ko-KR"/>
        </w:rPr>
        <w:t xml:space="preserve">The minimum separation time is a maximum of X us and the switching gap required for </w:t>
      </w:r>
      <w:r w:rsidRPr="00F83453">
        <w:rPr>
          <w:rFonts w:ascii="Times New Roman" w:eastAsia="MS Gothic" w:hAnsi="Times New Roman"/>
          <w:lang w:val="en-US" w:eastAsia="ko-KR"/>
        </w:rPr>
        <w:t>the second uplink switching</w:t>
      </w:r>
      <w:r w:rsidRPr="00F83453">
        <w:rPr>
          <w:rFonts w:ascii="Times New Roman" w:hAnsi="Times New Roman"/>
          <w:lang w:val="en-AU" w:eastAsia="ko-KR"/>
        </w:rPr>
        <w:t>.</w:t>
      </w:r>
    </w:p>
    <w:p w14:paraId="435A011E" w14:textId="77777777" w:rsidR="00F83453" w:rsidRPr="00F83453" w:rsidRDefault="00F83453" w:rsidP="00125CD6">
      <w:pPr>
        <w:numPr>
          <w:ilvl w:val="0"/>
          <w:numId w:val="25"/>
        </w:numPr>
        <w:pBdr>
          <w:top w:val="single" w:sz="4" w:space="1" w:color="auto"/>
          <w:left w:val="single" w:sz="4" w:space="4" w:color="auto"/>
          <w:bottom w:val="single" w:sz="4" w:space="1" w:color="auto"/>
          <w:right w:val="single" w:sz="4" w:space="4" w:color="auto"/>
        </w:pBdr>
        <w:overflowPunct/>
        <w:autoSpaceDE/>
        <w:autoSpaceDN/>
        <w:adjustRightInd/>
        <w:spacing w:after="180"/>
        <w:ind w:left="400" w:hangingChars="200" w:hanging="400"/>
        <w:contextualSpacing/>
        <w:jc w:val="left"/>
        <w:textAlignment w:val="auto"/>
        <w:rPr>
          <w:rFonts w:ascii="Times New Roman" w:hAnsi="Times New Roman"/>
          <w:lang w:val="en-AU" w:eastAsia="ko-KR"/>
        </w:rPr>
      </w:pPr>
      <w:r w:rsidRPr="00F83453">
        <w:rPr>
          <w:rFonts w:ascii="Times New Roman" w:hAnsi="Times New Roman"/>
          <w:lang w:val="en-AU" w:eastAsia="ko-KR"/>
        </w:rPr>
        <w:t>X us is subject to UE capability with a value set of {0us, 500us}</w:t>
      </w:r>
    </w:p>
    <w:p w14:paraId="38F3D952" w14:textId="4B0C5938" w:rsidR="00B173C4" w:rsidRDefault="00B173C4" w:rsidP="00125CD6">
      <w:pPr>
        <w:spacing w:beforeLines="100" w:before="240"/>
      </w:pPr>
      <w:r>
        <w:rPr>
          <w:rFonts w:hint="eastAsia"/>
        </w:rPr>
        <w:t>I</w:t>
      </w:r>
      <w:r>
        <w:t xml:space="preserve">t is not clear on the granularity of </w:t>
      </w:r>
      <w:proofErr w:type="spellStart"/>
      <w:r>
        <w:t>Xus</w:t>
      </w:r>
      <w:proofErr w:type="spellEnd"/>
      <w:r>
        <w:t>, for which R1 has a say.</w:t>
      </w:r>
    </w:p>
    <w:p w14:paraId="33C7A863" w14:textId="2FD460BC" w:rsidR="00B173C4" w:rsidRPr="009161D1" w:rsidRDefault="00B173C4" w:rsidP="00B173C4">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0" w:name="_Toc131520582"/>
      <w:r>
        <w:rPr>
          <w:rFonts w:hint="eastAsia"/>
        </w:rPr>
        <w:t>R</w:t>
      </w:r>
      <w:r>
        <w:t xml:space="preserve">2 wait for R1 </w:t>
      </w:r>
      <w:r w:rsidR="008A78E4">
        <w:rPr>
          <w:rFonts w:hint="eastAsia"/>
        </w:rPr>
        <w:t>conclusion</w:t>
      </w:r>
      <w:r w:rsidR="008A78E4">
        <w:t xml:space="preserve"> on capability granularity </w:t>
      </w:r>
      <w:r>
        <w:t xml:space="preserve">before adding capability for </w:t>
      </w:r>
      <w:r w:rsidR="008A78E4">
        <w:t>separation time</w:t>
      </w:r>
      <w:r>
        <w:t>.</w:t>
      </w:r>
      <w:bookmarkEnd w:id="10"/>
    </w:p>
    <w:p w14:paraId="3814476A" w14:textId="77777777" w:rsidR="00827B57" w:rsidRPr="00827B57" w:rsidRDefault="00827B57" w:rsidP="00827B57"/>
    <w:p w14:paraId="121B23D8" w14:textId="77777777" w:rsidR="00D0573B" w:rsidRDefault="00D0573B">
      <w:pPr>
        <w:pStyle w:val="1"/>
      </w:pPr>
      <w:r>
        <w:t>Conclusion</w:t>
      </w:r>
    </w:p>
    <w:p w14:paraId="363AC2BA" w14:textId="293756F6" w:rsidR="00D0573B" w:rsidRDefault="00D0573B">
      <w:r>
        <w:t>We have the following proposals:</w:t>
      </w:r>
    </w:p>
    <w:p w14:paraId="00B50EAC" w14:textId="3FF47D4D" w:rsidR="00A46983" w:rsidRDefault="00D0573B">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31520579" w:history="1">
        <w:r w:rsidR="00A46983" w:rsidRPr="006C782E">
          <w:rPr>
            <w:rStyle w:val="a5"/>
            <w:noProof/>
          </w:rPr>
          <w:t>Proposal 1</w:t>
        </w:r>
        <w:r w:rsidR="00A46983">
          <w:rPr>
            <w:rFonts w:asciiTheme="minorHAnsi" w:eastAsiaTheme="minorEastAsia" w:hAnsiTheme="minorHAnsi" w:cstheme="minorBidi"/>
            <w:b w:val="0"/>
            <w:noProof/>
            <w:kern w:val="2"/>
            <w:sz w:val="21"/>
          </w:rPr>
          <w:tab/>
        </w:r>
        <w:r w:rsidR="00A46983" w:rsidRPr="006C782E">
          <w:rPr>
            <w:rStyle w:val="a5"/>
            <w:noProof/>
          </w:rPr>
          <w:t>For P6 from [Post121][045], adopt Alt-1, and the UE is mandatory to include the switching period value even if the value is the same as R16/17 2-band switching.</w:t>
        </w:r>
      </w:hyperlink>
    </w:p>
    <w:p w14:paraId="3D00901C" w14:textId="097AF5F3" w:rsidR="00A46983" w:rsidRDefault="00A46983">
      <w:pPr>
        <w:pStyle w:val="TOC1"/>
        <w:rPr>
          <w:rFonts w:asciiTheme="minorHAnsi" w:eastAsiaTheme="minorEastAsia" w:hAnsiTheme="minorHAnsi" w:cstheme="minorBidi"/>
          <w:b w:val="0"/>
          <w:noProof/>
          <w:kern w:val="2"/>
          <w:sz w:val="21"/>
        </w:rPr>
      </w:pPr>
      <w:hyperlink w:anchor="_Toc131520580" w:history="1">
        <w:r w:rsidRPr="006C782E">
          <w:rPr>
            <w:rStyle w:val="a5"/>
            <w:noProof/>
          </w:rPr>
          <w:t>Proposal 2</w:t>
        </w:r>
        <w:r>
          <w:rPr>
            <w:rFonts w:asciiTheme="minorHAnsi" w:eastAsiaTheme="minorEastAsia" w:hAnsiTheme="minorHAnsi" w:cstheme="minorBidi"/>
            <w:b w:val="0"/>
            <w:noProof/>
            <w:kern w:val="2"/>
            <w:sz w:val="21"/>
          </w:rPr>
          <w:tab/>
        </w:r>
        <w:r w:rsidRPr="006C782E">
          <w:rPr>
            <w:rStyle w:val="a5"/>
            <w:noProof/>
          </w:rPr>
          <w:t>For P1 from [Post121][045], R2 adopt Approach-1, and clarify UE is not required to but can report additional 2-band FSC entry (as in legacy if it is with higher capability than parent FSC entry).</w:t>
        </w:r>
      </w:hyperlink>
    </w:p>
    <w:p w14:paraId="59A561C8" w14:textId="48C92EA6" w:rsidR="00A46983" w:rsidRDefault="00A46983">
      <w:pPr>
        <w:pStyle w:val="TOC1"/>
        <w:rPr>
          <w:rFonts w:asciiTheme="minorHAnsi" w:eastAsiaTheme="minorEastAsia" w:hAnsiTheme="minorHAnsi" w:cstheme="minorBidi"/>
          <w:b w:val="0"/>
          <w:noProof/>
          <w:kern w:val="2"/>
          <w:sz w:val="21"/>
        </w:rPr>
      </w:pPr>
      <w:hyperlink w:anchor="_Toc131520581" w:history="1">
        <w:r w:rsidRPr="006C782E">
          <w:rPr>
            <w:rStyle w:val="a5"/>
            <w:noProof/>
          </w:rPr>
          <w:t>Proposal 3</w:t>
        </w:r>
        <w:r>
          <w:rPr>
            <w:rFonts w:asciiTheme="minorHAnsi" w:eastAsiaTheme="minorEastAsia" w:hAnsiTheme="minorHAnsi" w:cstheme="minorBidi"/>
            <w:b w:val="0"/>
            <w:noProof/>
            <w:kern w:val="2"/>
            <w:sz w:val="21"/>
          </w:rPr>
          <w:tab/>
        </w:r>
        <w:r w:rsidRPr="006C782E">
          <w:rPr>
            <w:rStyle w:val="a5"/>
            <w:noProof/>
          </w:rPr>
          <w:t>For R18 Tx switching involving 3/4 band, i</w:t>
        </w:r>
        <w:r w:rsidRPr="006C782E">
          <w:rPr>
            <w:rStyle w:val="a5"/>
            <w:rFonts w:cs="Arial"/>
            <w:iCs/>
            <w:noProof/>
          </w:rPr>
          <w:t xml:space="preserve">f </w:t>
        </w:r>
        <w:r w:rsidRPr="006C782E">
          <w:rPr>
            <w:rStyle w:val="a5"/>
            <w:i/>
            <w:iCs/>
            <w:noProof/>
            <w:lang w:eastAsia="ja-JP"/>
          </w:rPr>
          <w:t>uplinkTxSwitching2T2T-PUSCH-TransCoherence-r17</w:t>
        </w:r>
        <w:r w:rsidRPr="006C782E">
          <w:rPr>
            <w:rStyle w:val="a5"/>
            <w:rFonts w:cs="Arial"/>
            <w:iCs/>
            <w:noProof/>
          </w:rPr>
          <w:t xml:space="preserve"> is absent, the per BC UE capability reported in</w:t>
        </w:r>
        <w:r w:rsidRPr="006C782E">
          <w:rPr>
            <w:rStyle w:val="a5"/>
            <w:noProof/>
          </w:rPr>
          <w:t xml:space="preserve"> </w:t>
        </w:r>
        <w:r w:rsidRPr="006C782E">
          <w:rPr>
            <w:rStyle w:val="a5"/>
            <w:rFonts w:cs="Arial"/>
            <w:i/>
            <w:iCs/>
            <w:noProof/>
          </w:rPr>
          <w:t>uplinkTxSwitching-PUSCH-TransCoherence-r16</w:t>
        </w:r>
        <w:r w:rsidRPr="006C782E">
          <w:rPr>
            <w:rStyle w:val="a5"/>
            <w:rFonts w:cs="Arial"/>
            <w:iCs/>
            <w:noProof/>
          </w:rPr>
          <w:t xml:space="preserve"> is applied, and if this field and </w:t>
        </w:r>
        <w:r w:rsidRPr="006C782E">
          <w:rPr>
            <w:rStyle w:val="a5"/>
            <w:rFonts w:cs="Arial"/>
            <w:i/>
            <w:iCs/>
            <w:noProof/>
          </w:rPr>
          <w:t>uplinkTxSwitching-PUSCH-TransCoherence-r16</w:t>
        </w:r>
        <w:r w:rsidRPr="006C782E">
          <w:rPr>
            <w:rStyle w:val="a5"/>
            <w:rFonts w:cs="Arial"/>
            <w:iCs/>
            <w:noProof/>
          </w:rPr>
          <w:t xml:space="preserve"> are both absent, the UE capability reported in </w:t>
        </w:r>
        <w:r w:rsidRPr="006C782E">
          <w:rPr>
            <w:rStyle w:val="a5"/>
            <w:rFonts w:cs="Arial"/>
            <w:i/>
            <w:iCs/>
            <w:noProof/>
          </w:rPr>
          <w:t>pusch-TransCoherence</w:t>
        </w:r>
        <w:r w:rsidRPr="006C782E">
          <w:rPr>
            <w:rStyle w:val="a5"/>
            <w:rFonts w:cs="Arial"/>
            <w:iCs/>
            <w:noProof/>
          </w:rPr>
          <w:t xml:space="preserve"> is applied.</w:t>
        </w:r>
      </w:hyperlink>
    </w:p>
    <w:p w14:paraId="38A51245" w14:textId="105F4C57" w:rsidR="00A46983" w:rsidRDefault="00A46983">
      <w:pPr>
        <w:pStyle w:val="TOC1"/>
        <w:rPr>
          <w:rFonts w:asciiTheme="minorHAnsi" w:eastAsiaTheme="minorEastAsia" w:hAnsiTheme="minorHAnsi" w:cstheme="minorBidi"/>
          <w:b w:val="0"/>
          <w:noProof/>
          <w:kern w:val="2"/>
          <w:sz w:val="21"/>
        </w:rPr>
      </w:pPr>
      <w:hyperlink w:anchor="_Toc131520582" w:history="1">
        <w:r w:rsidRPr="006C782E">
          <w:rPr>
            <w:rStyle w:val="a5"/>
            <w:noProof/>
          </w:rPr>
          <w:t>Proposal 4</w:t>
        </w:r>
        <w:r>
          <w:rPr>
            <w:rFonts w:asciiTheme="minorHAnsi" w:eastAsiaTheme="minorEastAsia" w:hAnsiTheme="minorHAnsi" w:cstheme="minorBidi"/>
            <w:b w:val="0"/>
            <w:noProof/>
            <w:kern w:val="2"/>
            <w:sz w:val="21"/>
          </w:rPr>
          <w:tab/>
        </w:r>
        <w:r w:rsidRPr="006C782E">
          <w:rPr>
            <w:rStyle w:val="a5"/>
            <w:noProof/>
          </w:rPr>
          <w:t>R2 wait for R1 conclusion on capability granularity before adding capability for separation time.</w:t>
        </w:r>
      </w:hyperlink>
    </w:p>
    <w:p w14:paraId="2F566ED3" w14:textId="2FBAA806" w:rsidR="00D0573B" w:rsidRDefault="00D0573B">
      <w:pPr>
        <w:rPr>
          <w:b/>
          <w:bCs/>
        </w:rPr>
      </w:pPr>
      <w:r>
        <w:fldChar w:fldCharType="end"/>
      </w:r>
    </w:p>
    <w:p w14:paraId="21E65997" w14:textId="77777777" w:rsidR="00D0573B" w:rsidRDefault="00D0573B">
      <w:pPr>
        <w:pStyle w:val="1"/>
      </w:pPr>
      <w:bookmarkStart w:id="11" w:name="_In-sequence_SDU_delivery"/>
      <w:bookmarkStart w:id="12" w:name="_Ref189809556"/>
      <w:bookmarkStart w:id="13" w:name="_Ref174151459"/>
      <w:bookmarkStart w:id="14" w:name="_Ref450865335"/>
      <w:bookmarkEnd w:id="11"/>
      <w:r>
        <w:rPr>
          <w:rFonts w:hint="eastAsia"/>
        </w:rPr>
        <w:t>Reference</w:t>
      </w:r>
      <w:bookmarkEnd w:id="12"/>
      <w:bookmarkEnd w:id="13"/>
      <w:bookmarkEnd w:id="14"/>
    </w:p>
    <w:p w14:paraId="44E7A329" w14:textId="2AEFB77B" w:rsidR="00E47239" w:rsidRPr="00E47239" w:rsidRDefault="00E47239">
      <w:pPr>
        <w:pStyle w:val="af7"/>
        <w:numPr>
          <w:ilvl w:val="0"/>
          <w:numId w:val="14"/>
        </w:numPr>
        <w:rPr>
          <w:lang w:val="en-US"/>
        </w:rPr>
      </w:pPr>
      <w:bookmarkStart w:id="15" w:name="_Hlk117771942"/>
      <w:r w:rsidRPr="00E47239">
        <w:rPr>
          <w:lang w:val="en-US"/>
        </w:rPr>
        <w:t>R1-2210724</w:t>
      </w:r>
      <w:bookmarkEnd w:id="15"/>
      <w:r>
        <w:rPr>
          <w:lang w:val="en-US"/>
        </w:rPr>
        <w:t xml:space="preserve">, </w:t>
      </w:r>
      <w:r w:rsidRPr="00E47239">
        <w:rPr>
          <w:lang w:val="en-US"/>
        </w:rPr>
        <w:t xml:space="preserve">LS on UE capability and </w:t>
      </w:r>
      <w:proofErr w:type="spellStart"/>
      <w:r w:rsidRPr="00E47239">
        <w:rPr>
          <w:lang w:val="en-US"/>
        </w:rPr>
        <w:t>gNB</w:t>
      </w:r>
      <w:proofErr w:type="spellEnd"/>
      <w:r w:rsidRPr="00E47239">
        <w:rPr>
          <w:lang w:val="en-US"/>
        </w:rPr>
        <w:t xml:space="preserve"> configuration for UL Tx switching across 3 or 4 bands in Rel-18</w:t>
      </w:r>
    </w:p>
    <w:p w14:paraId="1AE68190" w14:textId="49C3BD79" w:rsidR="00E47239" w:rsidRPr="00E47239" w:rsidRDefault="00E47239">
      <w:pPr>
        <w:pStyle w:val="af7"/>
        <w:numPr>
          <w:ilvl w:val="0"/>
          <w:numId w:val="14"/>
        </w:numPr>
        <w:rPr>
          <w:lang w:val="en-US"/>
        </w:rPr>
      </w:pPr>
      <w:r w:rsidRPr="00E47239">
        <w:rPr>
          <w:lang w:val="en-US"/>
        </w:rPr>
        <w:t xml:space="preserve">R4-2217741, LS on Rel-18 UL Tx </w:t>
      </w:r>
      <w:proofErr w:type="gramStart"/>
      <w:r w:rsidRPr="00E47239">
        <w:rPr>
          <w:lang w:val="en-US"/>
        </w:rPr>
        <w:t>switching</w:t>
      </w:r>
      <w:proofErr w:type="gramEnd"/>
    </w:p>
    <w:p w14:paraId="63F1E0C7" w14:textId="77777777" w:rsidR="00E47239" w:rsidRPr="00E47239" w:rsidRDefault="00E47239" w:rsidP="00E47239">
      <w:pPr>
        <w:rPr>
          <w:lang w:val="en-US"/>
        </w:rPr>
      </w:pPr>
    </w:p>
    <w:sectPr w:rsidR="00E47239" w:rsidRPr="00E47239">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04B8D" w14:textId="77777777" w:rsidR="00460127" w:rsidRDefault="00460127">
      <w:pPr>
        <w:spacing w:after="0"/>
      </w:pPr>
      <w:r>
        <w:separator/>
      </w:r>
    </w:p>
  </w:endnote>
  <w:endnote w:type="continuationSeparator" w:id="0">
    <w:p w14:paraId="724C4ED8" w14:textId="77777777" w:rsidR="00460127" w:rsidRDefault="004601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F8655" w14:textId="77777777" w:rsidR="00460127" w:rsidRDefault="00460127">
      <w:pPr>
        <w:spacing w:after="0"/>
      </w:pPr>
      <w:r>
        <w:separator/>
      </w:r>
    </w:p>
  </w:footnote>
  <w:footnote w:type="continuationSeparator" w:id="0">
    <w:p w14:paraId="1BCA220B" w14:textId="77777777" w:rsidR="00460127" w:rsidRDefault="004601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AB30A4"/>
    <w:multiLevelType w:val="hybridMultilevel"/>
    <w:tmpl w:val="E8E40956"/>
    <w:lvl w:ilvl="0" w:tplc="F15E6C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DD3CA5"/>
    <w:multiLevelType w:val="hybridMultilevel"/>
    <w:tmpl w:val="AF82AEDE"/>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05C1DFE"/>
    <w:multiLevelType w:val="multilevel"/>
    <w:tmpl w:val="205C1DFE"/>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2DBE7E04"/>
    <w:multiLevelType w:val="hybridMultilevel"/>
    <w:tmpl w:val="DCF42A2E"/>
    <w:lvl w:ilvl="0" w:tplc="24621D6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1B34EC"/>
    <w:multiLevelType w:val="multilevel"/>
    <w:tmpl w:val="461B3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2716B4"/>
    <w:multiLevelType w:val="multilevel"/>
    <w:tmpl w:val="877AEEC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114853"/>
    <w:multiLevelType w:val="multilevel"/>
    <w:tmpl w:val="7D114853"/>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41645222">
    <w:abstractNumId w:val="0"/>
  </w:num>
  <w:num w:numId="2" w16cid:durableId="1815945478">
    <w:abstractNumId w:val="16"/>
  </w:num>
  <w:num w:numId="3" w16cid:durableId="899944734">
    <w:abstractNumId w:val="6"/>
  </w:num>
  <w:num w:numId="4" w16cid:durableId="923492633">
    <w:abstractNumId w:val="10"/>
  </w:num>
  <w:num w:numId="5" w16cid:durableId="388650328">
    <w:abstractNumId w:val="5"/>
  </w:num>
  <w:num w:numId="6" w16cid:durableId="194120226">
    <w:abstractNumId w:val="9"/>
  </w:num>
  <w:num w:numId="7" w16cid:durableId="706684547">
    <w:abstractNumId w:val="8"/>
  </w:num>
  <w:num w:numId="8" w16cid:durableId="193084676">
    <w:abstractNumId w:val="14"/>
  </w:num>
  <w:num w:numId="9" w16cid:durableId="816410757">
    <w:abstractNumId w:val="23"/>
  </w:num>
  <w:num w:numId="10" w16cid:durableId="653684121">
    <w:abstractNumId w:val="15"/>
  </w:num>
  <w:num w:numId="11" w16cid:durableId="371805985">
    <w:abstractNumId w:val="21"/>
  </w:num>
  <w:num w:numId="12" w16cid:durableId="808475542">
    <w:abstractNumId w:val="18"/>
  </w:num>
  <w:num w:numId="13" w16cid:durableId="546263116">
    <w:abstractNumId w:val="20"/>
  </w:num>
  <w:num w:numId="14" w16cid:durableId="1870876810">
    <w:abstractNumId w:val="13"/>
  </w:num>
  <w:num w:numId="15" w16cid:durableId="2076976709">
    <w:abstractNumId w:val="7"/>
  </w:num>
  <w:num w:numId="16" w16cid:durableId="1022704898">
    <w:abstractNumId w:val="11"/>
  </w:num>
  <w:num w:numId="17" w16cid:durableId="1894611104">
    <w:abstractNumId w:val="4"/>
  </w:num>
  <w:num w:numId="18" w16cid:durableId="2020230800">
    <w:abstractNumId w:val="22"/>
  </w:num>
  <w:num w:numId="19" w16cid:durableId="1296642674">
    <w:abstractNumId w:val="3"/>
  </w:num>
  <w:num w:numId="20" w16cid:durableId="307050364">
    <w:abstractNumId w:val="12"/>
  </w:num>
  <w:num w:numId="21" w16cid:durableId="1068652462">
    <w:abstractNumId w:val="2"/>
  </w:num>
  <w:num w:numId="22" w16cid:durableId="1325890300">
    <w:abstractNumId w:val="1"/>
  </w:num>
  <w:num w:numId="23" w16cid:durableId="906304482">
    <w:abstractNumId w:val="19"/>
  </w:num>
  <w:num w:numId="24" w16cid:durableId="1967807644">
    <w:abstractNumId w:val="14"/>
  </w:num>
  <w:num w:numId="25" w16cid:durableId="1971787103">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aoFAJ/Kfx8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2724F"/>
    <w:rsid w:val="000325B8"/>
    <w:rsid w:val="00032EFB"/>
    <w:rsid w:val="000344AF"/>
    <w:rsid w:val="00034C15"/>
    <w:rsid w:val="000363CA"/>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469C9"/>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550D"/>
    <w:rsid w:val="00096FB6"/>
    <w:rsid w:val="00097797"/>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92F"/>
    <w:rsid w:val="000B3A8F"/>
    <w:rsid w:val="000B3B7A"/>
    <w:rsid w:val="000B3D7A"/>
    <w:rsid w:val="000B454B"/>
    <w:rsid w:val="000B4AB9"/>
    <w:rsid w:val="000B4E5C"/>
    <w:rsid w:val="000B4EC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5F7"/>
    <w:rsid w:val="000D0D07"/>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4C0"/>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039"/>
    <w:rsid w:val="001221E3"/>
    <w:rsid w:val="0012344C"/>
    <w:rsid w:val="0012376D"/>
    <w:rsid w:val="0012377F"/>
    <w:rsid w:val="00124314"/>
    <w:rsid w:val="00124482"/>
    <w:rsid w:val="00125338"/>
    <w:rsid w:val="00125C96"/>
    <w:rsid w:val="00125CD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3D76"/>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57741"/>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DFD"/>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0BDB"/>
    <w:rsid w:val="001D179D"/>
    <w:rsid w:val="001D1C35"/>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4AA5"/>
    <w:rsid w:val="001E58E2"/>
    <w:rsid w:val="001E7AED"/>
    <w:rsid w:val="001F0CCF"/>
    <w:rsid w:val="001F1D32"/>
    <w:rsid w:val="001F3916"/>
    <w:rsid w:val="001F3DC2"/>
    <w:rsid w:val="001F54C5"/>
    <w:rsid w:val="001F6031"/>
    <w:rsid w:val="001F6452"/>
    <w:rsid w:val="001F6563"/>
    <w:rsid w:val="001F662C"/>
    <w:rsid w:val="001F7074"/>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C7D"/>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14B"/>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5F45"/>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5E17"/>
    <w:rsid w:val="003169FE"/>
    <w:rsid w:val="0031775B"/>
    <w:rsid w:val="003203ED"/>
    <w:rsid w:val="00320683"/>
    <w:rsid w:val="00320D8F"/>
    <w:rsid w:val="003212B3"/>
    <w:rsid w:val="00321B01"/>
    <w:rsid w:val="00321BF4"/>
    <w:rsid w:val="00321CCD"/>
    <w:rsid w:val="00322088"/>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284C"/>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3F6"/>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6082"/>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2A"/>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4A1"/>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48F6"/>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AAC"/>
    <w:rsid w:val="00413E92"/>
    <w:rsid w:val="004151C7"/>
    <w:rsid w:val="00417191"/>
    <w:rsid w:val="004173C9"/>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127"/>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4DB9"/>
    <w:rsid w:val="004A64FA"/>
    <w:rsid w:val="004A6CE6"/>
    <w:rsid w:val="004B09A0"/>
    <w:rsid w:val="004B1FA5"/>
    <w:rsid w:val="004B254E"/>
    <w:rsid w:val="004B2B6D"/>
    <w:rsid w:val="004B32A3"/>
    <w:rsid w:val="004B4ECD"/>
    <w:rsid w:val="004B5C2F"/>
    <w:rsid w:val="004B72FC"/>
    <w:rsid w:val="004B7C0C"/>
    <w:rsid w:val="004C005B"/>
    <w:rsid w:val="004C0117"/>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72B"/>
    <w:rsid w:val="004E4E16"/>
    <w:rsid w:val="004E519A"/>
    <w:rsid w:val="004E56DC"/>
    <w:rsid w:val="004E76F4"/>
    <w:rsid w:val="004F0B4E"/>
    <w:rsid w:val="004F0B6C"/>
    <w:rsid w:val="004F2078"/>
    <w:rsid w:val="004F2649"/>
    <w:rsid w:val="004F40AE"/>
    <w:rsid w:val="004F4DA3"/>
    <w:rsid w:val="004F4EDF"/>
    <w:rsid w:val="004F7843"/>
    <w:rsid w:val="004F789D"/>
    <w:rsid w:val="004F7C46"/>
    <w:rsid w:val="005002E4"/>
    <w:rsid w:val="0050102E"/>
    <w:rsid w:val="0050162A"/>
    <w:rsid w:val="0050235F"/>
    <w:rsid w:val="0050265B"/>
    <w:rsid w:val="005033A5"/>
    <w:rsid w:val="00503975"/>
    <w:rsid w:val="00503E4C"/>
    <w:rsid w:val="005043C7"/>
    <w:rsid w:val="00504AC5"/>
    <w:rsid w:val="0050510A"/>
    <w:rsid w:val="00505110"/>
    <w:rsid w:val="0050528C"/>
    <w:rsid w:val="00506061"/>
    <w:rsid w:val="00506557"/>
    <w:rsid w:val="0050677A"/>
    <w:rsid w:val="00507737"/>
    <w:rsid w:val="00507FCA"/>
    <w:rsid w:val="005105F1"/>
    <w:rsid w:val="005108D8"/>
    <w:rsid w:val="005116F9"/>
    <w:rsid w:val="00511892"/>
    <w:rsid w:val="00511CBB"/>
    <w:rsid w:val="00511DD1"/>
    <w:rsid w:val="00512E0D"/>
    <w:rsid w:val="00513F13"/>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897"/>
    <w:rsid w:val="00542AEF"/>
    <w:rsid w:val="00542BCE"/>
    <w:rsid w:val="005431B2"/>
    <w:rsid w:val="0054499E"/>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4FEF"/>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A0D"/>
    <w:rsid w:val="005C1A97"/>
    <w:rsid w:val="005C3B16"/>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791"/>
    <w:rsid w:val="006311B3"/>
    <w:rsid w:val="0063181D"/>
    <w:rsid w:val="006322C1"/>
    <w:rsid w:val="0063284C"/>
    <w:rsid w:val="00632BE1"/>
    <w:rsid w:val="00632C4B"/>
    <w:rsid w:val="006332FD"/>
    <w:rsid w:val="0063366C"/>
    <w:rsid w:val="00633F19"/>
    <w:rsid w:val="00633F2F"/>
    <w:rsid w:val="00634478"/>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AB9"/>
    <w:rsid w:val="006511BC"/>
    <w:rsid w:val="00651429"/>
    <w:rsid w:val="006521DB"/>
    <w:rsid w:val="006536C1"/>
    <w:rsid w:val="00654EF1"/>
    <w:rsid w:val="00655733"/>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73C"/>
    <w:rsid w:val="00684C20"/>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7B"/>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0A4"/>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54B4"/>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1F9E"/>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4BA4"/>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D57"/>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CC9"/>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97CDB"/>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4A8F"/>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22C6"/>
    <w:rsid w:val="007F3D18"/>
    <w:rsid w:val="007F3EC6"/>
    <w:rsid w:val="007F427F"/>
    <w:rsid w:val="007F5BAF"/>
    <w:rsid w:val="007F6931"/>
    <w:rsid w:val="007F7230"/>
    <w:rsid w:val="007F7B25"/>
    <w:rsid w:val="00800956"/>
    <w:rsid w:val="0080294E"/>
    <w:rsid w:val="00803FAE"/>
    <w:rsid w:val="0080473F"/>
    <w:rsid w:val="00804843"/>
    <w:rsid w:val="0080517A"/>
    <w:rsid w:val="0080605F"/>
    <w:rsid w:val="00806760"/>
    <w:rsid w:val="00806C1B"/>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10"/>
    <w:rsid w:val="008235DB"/>
    <w:rsid w:val="00824AB4"/>
    <w:rsid w:val="00824E87"/>
    <w:rsid w:val="00825284"/>
    <w:rsid w:val="00825B9B"/>
    <w:rsid w:val="00825C42"/>
    <w:rsid w:val="00825D25"/>
    <w:rsid w:val="00826590"/>
    <w:rsid w:val="00827B57"/>
    <w:rsid w:val="00827D6F"/>
    <w:rsid w:val="00830DCF"/>
    <w:rsid w:val="008326D2"/>
    <w:rsid w:val="00832EE6"/>
    <w:rsid w:val="00833061"/>
    <w:rsid w:val="0083488B"/>
    <w:rsid w:val="0083529D"/>
    <w:rsid w:val="00835942"/>
    <w:rsid w:val="00835C00"/>
    <w:rsid w:val="008362D1"/>
    <w:rsid w:val="008376AC"/>
    <w:rsid w:val="00837FF8"/>
    <w:rsid w:val="00840847"/>
    <w:rsid w:val="008412EA"/>
    <w:rsid w:val="0084391E"/>
    <w:rsid w:val="008444E8"/>
    <w:rsid w:val="00844723"/>
    <w:rsid w:val="00844E80"/>
    <w:rsid w:val="00845754"/>
    <w:rsid w:val="0084651D"/>
    <w:rsid w:val="00846FE7"/>
    <w:rsid w:val="008470E5"/>
    <w:rsid w:val="00847316"/>
    <w:rsid w:val="0084745A"/>
    <w:rsid w:val="00850585"/>
    <w:rsid w:val="00850F92"/>
    <w:rsid w:val="008516F5"/>
    <w:rsid w:val="008528D8"/>
    <w:rsid w:val="00853FD9"/>
    <w:rsid w:val="0085566A"/>
    <w:rsid w:val="00855A9E"/>
    <w:rsid w:val="00856911"/>
    <w:rsid w:val="00856F80"/>
    <w:rsid w:val="008571C1"/>
    <w:rsid w:val="00857F50"/>
    <w:rsid w:val="008617AC"/>
    <w:rsid w:val="0086247C"/>
    <w:rsid w:val="0086318D"/>
    <w:rsid w:val="00864DB5"/>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8FE"/>
    <w:rsid w:val="00877962"/>
    <w:rsid w:val="00877F18"/>
    <w:rsid w:val="00880032"/>
    <w:rsid w:val="008800BC"/>
    <w:rsid w:val="008800D8"/>
    <w:rsid w:val="00880516"/>
    <w:rsid w:val="00880A4F"/>
    <w:rsid w:val="00883BAF"/>
    <w:rsid w:val="00885991"/>
    <w:rsid w:val="00885BD5"/>
    <w:rsid w:val="00886724"/>
    <w:rsid w:val="008869F8"/>
    <w:rsid w:val="00886D2A"/>
    <w:rsid w:val="00886E16"/>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768F"/>
    <w:rsid w:val="008A77D8"/>
    <w:rsid w:val="008A78E4"/>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3232"/>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61D1"/>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6FF0"/>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C627E"/>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C25"/>
    <w:rsid w:val="009E3D8F"/>
    <w:rsid w:val="009E408C"/>
    <w:rsid w:val="009E41A5"/>
    <w:rsid w:val="009E43E9"/>
    <w:rsid w:val="009E47A3"/>
    <w:rsid w:val="009E4CDD"/>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AEF"/>
    <w:rsid w:val="00A05BD3"/>
    <w:rsid w:val="00A05EA3"/>
    <w:rsid w:val="00A109A1"/>
    <w:rsid w:val="00A10F9E"/>
    <w:rsid w:val="00A1284B"/>
    <w:rsid w:val="00A13E54"/>
    <w:rsid w:val="00A141C5"/>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3FE"/>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46983"/>
    <w:rsid w:val="00A501F3"/>
    <w:rsid w:val="00A503CA"/>
    <w:rsid w:val="00A51A52"/>
    <w:rsid w:val="00A51EC9"/>
    <w:rsid w:val="00A52D50"/>
    <w:rsid w:val="00A52E1D"/>
    <w:rsid w:val="00A55067"/>
    <w:rsid w:val="00A563A0"/>
    <w:rsid w:val="00A568DF"/>
    <w:rsid w:val="00A56BD1"/>
    <w:rsid w:val="00A56CCB"/>
    <w:rsid w:val="00A57F52"/>
    <w:rsid w:val="00A61499"/>
    <w:rsid w:val="00A62A77"/>
    <w:rsid w:val="00A62F92"/>
    <w:rsid w:val="00A63483"/>
    <w:rsid w:val="00A63B68"/>
    <w:rsid w:val="00A653B5"/>
    <w:rsid w:val="00A657D7"/>
    <w:rsid w:val="00A660AC"/>
    <w:rsid w:val="00A663AA"/>
    <w:rsid w:val="00A67664"/>
    <w:rsid w:val="00A67E6C"/>
    <w:rsid w:val="00A71B99"/>
    <w:rsid w:val="00A71F55"/>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ACE"/>
    <w:rsid w:val="00A92BEC"/>
    <w:rsid w:val="00A93EA4"/>
    <w:rsid w:val="00A9442A"/>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2AA9"/>
    <w:rsid w:val="00B02FA3"/>
    <w:rsid w:val="00B02FF3"/>
    <w:rsid w:val="00B03E30"/>
    <w:rsid w:val="00B05084"/>
    <w:rsid w:val="00B05E98"/>
    <w:rsid w:val="00B07DD7"/>
    <w:rsid w:val="00B101E0"/>
    <w:rsid w:val="00B10E4C"/>
    <w:rsid w:val="00B130C7"/>
    <w:rsid w:val="00B132D1"/>
    <w:rsid w:val="00B133D4"/>
    <w:rsid w:val="00B1435A"/>
    <w:rsid w:val="00B154CD"/>
    <w:rsid w:val="00B157F9"/>
    <w:rsid w:val="00B16463"/>
    <w:rsid w:val="00B1653D"/>
    <w:rsid w:val="00B173C4"/>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15AF"/>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66B8"/>
    <w:rsid w:val="00B475E2"/>
    <w:rsid w:val="00B52E5B"/>
    <w:rsid w:val="00B5336F"/>
    <w:rsid w:val="00B536D4"/>
    <w:rsid w:val="00B53A00"/>
    <w:rsid w:val="00B54340"/>
    <w:rsid w:val="00B555C1"/>
    <w:rsid w:val="00B564FE"/>
    <w:rsid w:val="00B61138"/>
    <w:rsid w:val="00B61834"/>
    <w:rsid w:val="00B61E49"/>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5BD"/>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C7F"/>
    <w:rsid w:val="00B92FD2"/>
    <w:rsid w:val="00B93B59"/>
    <w:rsid w:val="00B9406A"/>
    <w:rsid w:val="00B94C5A"/>
    <w:rsid w:val="00B9576D"/>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4E0"/>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32F1"/>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76A"/>
    <w:rsid w:val="00C57E38"/>
    <w:rsid w:val="00C60783"/>
    <w:rsid w:val="00C6098D"/>
    <w:rsid w:val="00C60D47"/>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9EF"/>
    <w:rsid w:val="00C74A38"/>
    <w:rsid w:val="00C75156"/>
    <w:rsid w:val="00C75D2F"/>
    <w:rsid w:val="00C767BE"/>
    <w:rsid w:val="00C76E3C"/>
    <w:rsid w:val="00C80953"/>
    <w:rsid w:val="00C81568"/>
    <w:rsid w:val="00C8174F"/>
    <w:rsid w:val="00C81EAC"/>
    <w:rsid w:val="00C8237E"/>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7B45"/>
    <w:rsid w:val="00CC7F71"/>
    <w:rsid w:val="00CD0A37"/>
    <w:rsid w:val="00CD1188"/>
    <w:rsid w:val="00CD2ED1"/>
    <w:rsid w:val="00CD337B"/>
    <w:rsid w:val="00CD4628"/>
    <w:rsid w:val="00CD67BA"/>
    <w:rsid w:val="00CD6F1E"/>
    <w:rsid w:val="00CD7FE4"/>
    <w:rsid w:val="00CE0424"/>
    <w:rsid w:val="00CE2030"/>
    <w:rsid w:val="00CE2C2F"/>
    <w:rsid w:val="00CE2DE8"/>
    <w:rsid w:val="00CE34DB"/>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2E26"/>
    <w:rsid w:val="00D13135"/>
    <w:rsid w:val="00D13757"/>
    <w:rsid w:val="00D13E4E"/>
    <w:rsid w:val="00D14351"/>
    <w:rsid w:val="00D15919"/>
    <w:rsid w:val="00D15998"/>
    <w:rsid w:val="00D15D7C"/>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7D2"/>
    <w:rsid w:val="00D3297E"/>
    <w:rsid w:val="00D32D64"/>
    <w:rsid w:val="00D339E8"/>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4724"/>
    <w:rsid w:val="00D652B5"/>
    <w:rsid w:val="00D65796"/>
    <w:rsid w:val="00D65F70"/>
    <w:rsid w:val="00D66155"/>
    <w:rsid w:val="00D669C6"/>
    <w:rsid w:val="00D67097"/>
    <w:rsid w:val="00D708B0"/>
    <w:rsid w:val="00D70D3B"/>
    <w:rsid w:val="00D7189E"/>
    <w:rsid w:val="00D71D16"/>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9E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30A"/>
    <w:rsid w:val="00D9453C"/>
    <w:rsid w:val="00D95CEE"/>
    <w:rsid w:val="00D96FCE"/>
    <w:rsid w:val="00DA0D90"/>
    <w:rsid w:val="00DA18D1"/>
    <w:rsid w:val="00DA1B30"/>
    <w:rsid w:val="00DA2FA3"/>
    <w:rsid w:val="00DA305E"/>
    <w:rsid w:val="00DA378F"/>
    <w:rsid w:val="00DA3F78"/>
    <w:rsid w:val="00DA5417"/>
    <w:rsid w:val="00DA56E8"/>
    <w:rsid w:val="00DA5851"/>
    <w:rsid w:val="00DA70D9"/>
    <w:rsid w:val="00DA75F8"/>
    <w:rsid w:val="00DA7D5F"/>
    <w:rsid w:val="00DB0A9F"/>
    <w:rsid w:val="00DB0F06"/>
    <w:rsid w:val="00DB1CCD"/>
    <w:rsid w:val="00DB1F42"/>
    <w:rsid w:val="00DB2E80"/>
    <w:rsid w:val="00DB3185"/>
    <w:rsid w:val="00DB377D"/>
    <w:rsid w:val="00DB3F3F"/>
    <w:rsid w:val="00DB4F87"/>
    <w:rsid w:val="00DB74C2"/>
    <w:rsid w:val="00DB7BDB"/>
    <w:rsid w:val="00DC074F"/>
    <w:rsid w:val="00DC088E"/>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0FA2"/>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4FA6"/>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7E0"/>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79DC"/>
    <w:rsid w:val="00E30B5A"/>
    <w:rsid w:val="00E3115A"/>
    <w:rsid w:val="00E3123D"/>
    <w:rsid w:val="00E31461"/>
    <w:rsid w:val="00E31770"/>
    <w:rsid w:val="00E31CBF"/>
    <w:rsid w:val="00E31D43"/>
    <w:rsid w:val="00E31EE3"/>
    <w:rsid w:val="00E32608"/>
    <w:rsid w:val="00E32C33"/>
    <w:rsid w:val="00E34188"/>
    <w:rsid w:val="00E34B6E"/>
    <w:rsid w:val="00E34C63"/>
    <w:rsid w:val="00E35559"/>
    <w:rsid w:val="00E3581C"/>
    <w:rsid w:val="00E35DA5"/>
    <w:rsid w:val="00E3667B"/>
    <w:rsid w:val="00E3723A"/>
    <w:rsid w:val="00E37824"/>
    <w:rsid w:val="00E37860"/>
    <w:rsid w:val="00E40290"/>
    <w:rsid w:val="00E41699"/>
    <w:rsid w:val="00E41887"/>
    <w:rsid w:val="00E41982"/>
    <w:rsid w:val="00E421E9"/>
    <w:rsid w:val="00E42DD7"/>
    <w:rsid w:val="00E430B8"/>
    <w:rsid w:val="00E434B5"/>
    <w:rsid w:val="00E440C3"/>
    <w:rsid w:val="00E440E6"/>
    <w:rsid w:val="00E44203"/>
    <w:rsid w:val="00E446F1"/>
    <w:rsid w:val="00E45931"/>
    <w:rsid w:val="00E460CD"/>
    <w:rsid w:val="00E46886"/>
    <w:rsid w:val="00E47239"/>
    <w:rsid w:val="00E47AEF"/>
    <w:rsid w:val="00E500D0"/>
    <w:rsid w:val="00E513AC"/>
    <w:rsid w:val="00E51DEE"/>
    <w:rsid w:val="00E52125"/>
    <w:rsid w:val="00E525F8"/>
    <w:rsid w:val="00E527FA"/>
    <w:rsid w:val="00E53B75"/>
    <w:rsid w:val="00E54E3B"/>
    <w:rsid w:val="00E57532"/>
    <w:rsid w:val="00E57565"/>
    <w:rsid w:val="00E577A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27C6"/>
    <w:rsid w:val="00EC29A7"/>
    <w:rsid w:val="00EC2F7B"/>
    <w:rsid w:val="00EC36BF"/>
    <w:rsid w:val="00EC4207"/>
    <w:rsid w:val="00EC4505"/>
    <w:rsid w:val="00EC46AB"/>
    <w:rsid w:val="00EC5653"/>
    <w:rsid w:val="00EC616F"/>
    <w:rsid w:val="00EC71CE"/>
    <w:rsid w:val="00EC740B"/>
    <w:rsid w:val="00ED0393"/>
    <w:rsid w:val="00ED0E7A"/>
    <w:rsid w:val="00ED1006"/>
    <w:rsid w:val="00ED1895"/>
    <w:rsid w:val="00ED42B3"/>
    <w:rsid w:val="00ED4D1B"/>
    <w:rsid w:val="00ED5012"/>
    <w:rsid w:val="00ED51BF"/>
    <w:rsid w:val="00ED51DE"/>
    <w:rsid w:val="00ED5A72"/>
    <w:rsid w:val="00ED7454"/>
    <w:rsid w:val="00EE4874"/>
    <w:rsid w:val="00EE6075"/>
    <w:rsid w:val="00EE6434"/>
    <w:rsid w:val="00EE73AE"/>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64D0"/>
    <w:rsid w:val="00F2794A"/>
    <w:rsid w:val="00F30099"/>
    <w:rsid w:val="00F30450"/>
    <w:rsid w:val="00F30828"/>
    <w:rsid w:val="00F30D69"/>
    <w:rsid w:val="00F313D6"/>
    <w:rsid w:val="00F32D13"/>
    <w:rsid w:val="00F34567"/>
    <w:rsid w:val="00F345DC"/>
    <w:rsid w:val="00F3530A"/>
    <w:rsid w:val="00F400E4"/>
    <w:rsid w:val="00F40F0C"/>
    <w:rsid w:val="00F41117"/>
    <w:rsid w:val="00F42E71"/>
    <w:rsid w:val="00F43835"/>
    <w:rsid w:val="00F46B0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6E37"/>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7B"/>
    <w:rsid w:val="00F75582"/>
    <w:rsid w:val="00F76EFA"/>
    <w:rsid w:val="00F774C7"/>
    <w:rsid w:val="00F777D3"/>
    <w:rsid w:val="00F77ED4"/>
    <w:rsid w:val="00F804BE"/>
    <w:rsid w:val="00F817CE"/>
    <w:rsid w:val="00F81D10"/>
    <w:rsid w:val="00F82F14"/>
    <w:rsid w:val="00F82FD6"/>
    <w:rsid w:val="00F82FDD"/>
    <w:rsid w:val="00F83453"/>
    <w:rsid w:val="00F8456C"/>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3987"/>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F0"/>
    <w:rsid w:val="00FD47ED"/>
    <w:rsid w:val="00FD4C23"/>
    <w:rsid w:val="00FD5AB9"/>
    <w:rsid w:val="00FD74DB"/>
    <w:rsid w:val="00FD7660"/>
    <w:rsid w:val="00FE0655"/>
    <w:rsid w:val="00FE08D3"/>
    <w:rsid w:val="00FE0B0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1106"/>
    <w:rsid w:val="00FF172B"/>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
    <w:link w:val="ad"/>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列,列表段,P"/>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Heading1b">
    <w:name w:val="Heading 1b"/>
    <w:basedOn w:val="1"/>
    <w:rsid w:val="00D9430A"/>
    <w:pPr>
      <w:numPr>
        <w:numId w:val="15"/>
      </w:numPr>
      <w:overflowPunct/>
      <w:autoSpaceDE/>
      <w:autoSpaceDN/>
      <w:adjustRightInd/>
      <w:textAlignment w:val="auto"/>
    </w:pPr>
    <w:rPr>
      <w:color w:val="0000FF"/>
      <w:kern w:val="2"/>
      <w:szCs w:val="20"/>
      <w:lang w:eastAsia="en-US"/>
    </w:rPr>
  </w:style>
  <w:style w:type="character" w:customStyle="1" w:styleId="TANChar">
    <w:name w:val="TAN Char"/>
    <w:link w:val="TAN"/>
    <w:qFormat/>
    <w:rsid w:val="00C032F1"/>
    <w:rPr>
      <w:rFonts w:ascii="Arial" w:hAnsi="Arial"/>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E47239"/>
    <w:rPr>
      <w:rFonts w:ascii="Arial" w:hAnsi="Arial"/>
      <w:b/>
      <w:noProof/>
      <w:sz w:val="18"/>
      <w:lang w:bidi="ar-SA"/>
    </w:rPr>
  </w:style>
  <w:style w:type="paragraph" w:styleId="afd">
    <w:name w:val="Revision"/>
    <w:hidden/>
    <w:uiPriority w:val="99"/>
    <w:unhideWhenUsed/>
    <w:rsid w:val="0009550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74840185">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755393984">
      <w:bodyDiv w:val="1"/>
      <w:marLeft w:val="0"/>
      <w:marRight w:val="0"/>
      <w:marTop w:val="0"/>
      <w:marBottom w:val="0"/>
      <w:divBdr>
        <w:top w:val="none" w:sz="0" w:space="0" w:color="auto"/>
        <w:left w:val="none" w:sz="0" w:space="0" w:color="auto"/>
        <w:bottom w:val="none" w:sz="0" w:space="0" w:color="auto"/>
        <w:right w:val="none" w:sz="0" w:space="0" w:color="auto"/>
      </w:divBdr>
    </w:div>
    <w:div w:id="200346470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7DBFDF-29C8-40CA-9A3F-419ABEE29EB2}">
  <ds:schemaRefs>
    <ds:schemaRef ds:uri="http://schemas.openxmlformats.org/officeDocument/2006/bibliography"/>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59</TotalTime>
  <Pages>4</Pages>
  <Words>1697</Words>
  <Characters>9677</Characters>
  <Application>Microsoft Office Word</Application>
  <DocSecurity>0</DocSecurity>
  <Lines>80</Lines>
  <Paragraphs>22</Paragraphs>
  <ScaleCrop>false</ScaleCrop>
  <Company/>
  <LinksUpToDate>false</LinksUpToDate>
  <CharactersWithSpaces>11352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 Lu)</cp:lastModifiedBy>
  <cp:revision>9</cp:revision>
  <cp:lastPrinted>2008-01-31T16:09:00Z</cp:lastPrinted>
  <dcterms:created xsi:type="dcterms:W3CDTF">2023-02-13T07:03:00Z</dcterms:created>
  <dcterms:modified xsi:type="dcterms:W3CDTF">2023-04-04T09:09:00Z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2020-05-21 05:04:09Z</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Date">
    <vt:filetime>2016-02-17T23:00:00Z</vt:filetime>
  </property>
  <property fmtid="{D5CDD505-2E9C-101B-9397-08002B2CF9AE}" pid="9" name="KSOProductBuildVer">
    <vt:lpwstr>2052-11.8.2.8361</vt:lpwstr>
  </property>
  <property fmtid="{D5CDD505-2E9C-101B-9397-08002B2CF9AE}" pid="10" name="NSCPROP_SA">
    <vt:lpwstr>C:\Users\SYJ\Desktop\R2-190xxxx - Summary of 104#55V2X Unicast (OPPO) v3.0_Convida\R2-190xxxx - Summary of 104#55V2X Unicast (OPPO) v3.0_Convida.doc</vt:lpwstr>
  </property>
  <property fmtid="{D5CDD505-2E9C-101B-9397-08002B2CF9AE}" pid="11" name="TitusGUID">
    <vt:lpwstr>24530ceb-5757-4a71-b000-cf6ed6837725</vt:lpwstr>
  </property>
  <property fmtid="{D5CDD505-2E9C-101B-9397-08002B2CF9AE}" pid="12"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3"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4" name="_2015_ms_pID_7253432">
    <vt:lpwstr>Rw==</vt:lpwstr>
  </property>
  <property fmtid="{D5CDD505-2E9C-101B-9397-08002B2CF9AE}" pid="15" name="_NewReviewCycle">
    <vt:lpwstr/>
  </property>
  <property fmtid="{D5CDD505-2E9C-101B-9397-08002B2CF9AE}" pid="16" name="_change">
    <vt:lpwstr/>
  </property>
  <property fmtid="{D5CDD505-2E9C-101B-9397-08002B2CF9AE}" pid="17" name="_full-control">
    <vt:lpwstr/>
  </property>
  <property fmtid="{D5CDD505-2E9C-101B-9397-08002B2CF9AE}" pid="18" name="_readonly">
    <vt:lpwstr/>
  </property>
  <property fmtid="{D5CDD505-2E9C-101B-9397-08002B2CF9AE}" pid="19" name="sflag">
    <vt:lpwstr>1548837527</vt:lpwstr>
  </property>
</Properties>
</file>